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2.png" ContentType="image/pn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sz w:val="24"/>
          <w:szCs w:val="24"/>
        </w:rPr>
      </w:pPr>
      <w:r>
        <w:rPr>
          <w:b/>
          <w:sz w:val="24"/>
          <w:szCs w:val="24"/>
        </w:rPr>
        <w:t xml:space="preserve">REGULAMIN REKRUTACJI I UDZIAŁU W PROJEKCIE </w:t>
      </w:r>
    </w:p>
    <w:p>
      <w:pPr>
        <w:pStyle w:val="Normal"/>
        <w:jc w:val="center"/>
        <w:rPr/>
      </w:pPr>
      <w:r>
        <w:rPr>
          <w:b/>
          <w:sz w:val="24"/>
          <w:szCs w:val="24"/>
        </w:rPr>
        <w:t>„</w:t>
      </w:r>
      <w:r>
        <w:rPr>
          <w:b/>
          <w:sz w:val="24"/>
          <w:szCs w:val="24"/>
        </w:rPr>
        <w:t>Aktywizacja zawodowa osób pozostających bez pracy w powiecie puckim- etap II”</w:t>
      </w:r>
    </w:p>
    <w:p>
      <w:pPr>
        <w:pStyle w:val="Normal"/>
        <w:jc w:val="center"/>
        <w:rPr/>
      </w:pPr>
      <w:r>
        <w:rPr>
          <w:b/>
          <w:sz w:val="24"/>
          <w:szCs w:val="24"/>
        </w:rPr>
        <w:t>§ 1</w:t>
      </w:r>
    </w:p>
    <w:p>
      <w:pPr>
        <w:pStyle w:val="Normal"/>
        <w:jc w:val="center"/>
        <w:rPr>
          <w:b/>
          <w:b/>
          <w:sz w:val="24"/>
          <w:szCs w:val="24"/>
        </w:rPr>
      </w:pPr>
      <w:r>
        <w:rPr>
          <w:b/>
          <w:sz w:val="24"/>
          <w:szCs w:val="24"/>
        </w:rPr>
        <w:t>Postanowienia ogólne</w:t>
      </w:r>
    </w:p>
    <w:p>
      <w:pPr>
        <w:pStyle w:val="ListParagraph"/>
        <w:numPr>
          <w:ilvl w:val="0"/>
          <w:numId w:val="6"/>
        </w:numPr>
        <w:spacing w:lineRule="auto" w:line="240"/>
        <w:jc w:val="both"/>
        <w:rPr/>
      </w:pPr>
      <w:r>
        <w:rPr/>
        <w:t>Niniejszy dokument określa zasady rekrutacji, warunki i kryteria uczestnictwa w projekcie „Aktywizacja zawodowa osób pozostających bez pracy w powiecie puckim- etap II”.</w:t>
      </w:r>
    </w:p>
    <w:p>
      <w:pPr>
        <w:pStyle w:val="ListParagraph"/>
        <w:numPr>
          <w:ilvl w:val="0"/>
          <w:numId w:val="6"/>
        </w:numPr>
        <w:spacing w:lineRule="auto" w:line="240"/>
        <w:jc w:val="both"/>
        <w:rPr/>
      </w:pPr>
      <w:r>
        <w:rPr/>
        <w:t>Projekt jest współfinansowany ze środków Unii Europejskiej w ramach Europejskiego Funduszu Społecznego, w ramach Regionalnego Programu Operacyjnego Województwa Pomorskiego na lata 2014-2020.</w:t>
      </w:r>
    </w:p>
    <w:p>
      <w:pPr>
        <w:pStyle w:val="ListParagraph"/>
        <w:numPr>
          <w:ilvl w:val="0"/>
          <w:numId w:val="6"/>
        </w:numPr>
        <w:spacing w:lineRule="auto" w:line="240"/>
        <w:jc w:val="both"/>
        <w:rPr/>
      </w:pPr>
      <w:r>
        <w:rPr/>
        <w:t xml:space="preserve">Projekt jest realizowany przez Powiat Pucki w partnerstwie z Fundacją Phenomen na terenie powiatu puckiego. </w:t>
      </w:r>
    </w:p>
    <w:p>
      <w:pPr>
        <w:pStyle w:val="ListParagraph"/>
        <w:numPr>
          <w:ilvl w:val="0"/>
          <w:numId w:val="6"/>
        </w:numPr>
        <w:spacing w:lineRule="auto" w:line="240"/>
        <w:jc w:val="both"/>
        <w:rPr/>
      </w:pPr>
      <w:r>
        <w:rPr/>
        <w:t>Okres realizacji projektu: od 31.01.2018 roku do 31.12.2018 roku.</w:t>
      </w:r>
    </w:p>
    <w:p>
      <w:pPr>
        <w:pStyle w:val="ListParagraph"/>
        <w:numPr>
          <w:ilvl w:val="0"/>
          <w:numId w:val="6"/>
        </w:numPr>
        <w:spacing w:lineRule="auto" w:line="240"/>
        <w:jc w:val="both"/>
        <w:rPr/>
      </w:pPr>
      <w:r>
        <w:rPr/>
        <w:t xml:space="preserve">Ogólny nadzór nad realizacją Projektu, a także rozstrzyganie spraw, które nie są uregulowane </w:t>
        <w:br/>
        <w:t>w niniejszym Regulaminie, pozostaje w gestii kierownika projektu</w:t>
      </w:r>
      <w:r>
        <w:rPr>
          <w:sz w:val="24"/>
          <w:szCs w:val="24"/>
        </w:rPr>
        <w:t xml:space="preserve">. </w:t>
      </w:r>
    </w:p>
    <w:p>
      <w:pPr>
        <w:pStyle w:val="ListParagraph"/>
        <w:spacing w:lineRule="auto" w:line="240"/>
        <w:jc w:val="both"/>
        <w:rPr/>
      </w:pPr>
      <w:r>
        <w:rPr/>
      </w:r>
    </w:p>
    <w:p>
      <w:pPr>
        <w:pStyle w:val="Normal"/>
        <w:jc w:val="center"/>
        <w:rPr>
          <w:b/>
          <w:b/>
          <w:sz w:val="24"/>
          <w:szCs w:val="24"/>
        </w:rPr>
      </w:pPr>
      <w:r>
        <w:rPr>
          <w:b/>
          <w:sz w:val="24"/>
          <w:szCs w:val="24"/>
        </w:rPr>
        <w:t>§ 2</w:t>
      </w:r>
    </w:p>
    <w:p>
      <w:pPr>
        <w:pStyle w:val="Normal"/>
        <w:jc w:val="center"/>
        <w:rPr>
          <w:b/>
          <w:b/>
          <w:sz w:val="24"/>
          <w:szCs w:val="24"/>
        </w:rPr>
      </w:pPr>
      <w:r>
        <w:rPr>
          <w:b/>
          <w:sz w:val="24"/>
          <w:szCs w:val="24"/>
        </w:rPr>
        <w:t>Definicje</w:t>
      </w:r>
    </w:p>
    <w:p>
      <w:pPr>
        <w:pStyle w:val="ListParagraph"/>
        <w:numPr>
          <w:ilvl w:val="0"/>
          <w:numId w:val="7"/>
        </w:numPr>
        <w:spacing w:lineRule="auto" w:line="240"/>
        <w:jc w:val="both"/>
        <w:rPr/>
      </w:pPr>
      <w:r>
        <w:rPr>
          <w:b/>
        </w:rPr>
        <w:t>Realizator Projektu</w:t>
      </w:r>
      <w:r>
        <w:rPr/>
        <w:t xml:space="preserve"> –Powiat Pucki w partnerstwie z Fundacją Phenomen.</w:t>
      </w:r>
    </w:p>
    <w:p>
      <w:pPr>
        <w:pStyle w:val="ListParagraph"/>
        <w:numPr>
          <w:ilvl w:val="0"/>
          <w:numId w:val="7"/>
        </w:numPr>
        <w:spacing w:lineRule="auto" w:line="240"/>
        <w:jc w:val="both"/>
        <w:rPr/>
      </w:pPr>
      <w:r>
        <w:rPr>
          <w:b/>
        </w:rPr>
        <w:t>Projekt</w:t>
      </w:r>
      <w:r>
        <w:rPr/>
        <w:t xml:space="preserve"> – projekt „Aktywizacja zawodowa osób pozostających bez pracy w powiecie puckim- etap II”, którego celem jest aktywizacja zawodowa beneficjentów prowadząca do wzrostu poziomu ich zatrudnienia, dzięki otrzymaniu kompleksowego wsparcia w zakresie aktywizacji zawodowej obejmującego m. in. usługi służące indywidualizacji wsparcia oraz pomocy w zakresie określenia ścieżki zawodowej, usługi służące zdobyciu kwalifikacji i doświadczenia zawodowego oraz wsparcia stanowiącego zachętę do zatrudnienia. Celami szczególnymi są podniesienie kompetencji kluczowych beneficjentów niezbędnych na rynku pracy oraz ich kwalifikacji zawodowych.</w:t>
      </w:r>
    </w:p>
    <w:p>
      <w:pPr>
        <w:pStyle w:val="ListParagraph"/>
        <w:numPr>
          <w:ilvl w:val="0"/>
          <w:numId w:val="7"/>
        </w:numPr>
        <w:spacing w:lineRule="auto" w:line="240"/>
        <w:jc w:val="both"/>
        <w:rPr/>
      </w:pPr>
      <w:r>
        <w:rPr>
          <w:rFonts w:cs="Arial"/>
          <w:b/>
          <w:lang w:eastAsia="pl-PL"/>
        </w:rPr>
        <w:t>IPD (Indywidualny Plan Działania)</w:t>
      </w:r>
      <w:r>
        <w:rPr>
          <w:rFonts w:cs="Arial"/>
          <w:lang w:eastAsia="pl-PL"/>
        </w:rPr>
        <w:t xml:space="preserve"> – dokument tworzony przez uczestnika projektu we współpracy z doradcą zawodowym, stanowiący podsumowanie informacji na temat potencjału zawodowego (w tym potrzeb szkoleniowych), kompetencji i celów zawodowych uczestnika projektu oraz sposobu ich realizacji. IPD stanowi podstawę ustalenia dalszych form wsparcia (w tym tematyki szkoleń zawodowych) dla uczestnika projektu. W przypadku projektów realizowanych przez Powiatowe Urzędy Pracy oznacza to plan działań obejmujący podstawowe usługi rynku pracy wspierane instrumentami rynku pracy w celu zatrudnienia bezrobotnego lub poszukującego pracy.</w:t>
      </w:r>
    </w:p>
    <w:p>
      <w:pPr>
        <w:pStyle w:val="ListParagraph"/>
        <w:numPr>
          <w:ilvl w:val="0"/>
          <w:numId w:val="7"/>
        </w:numPr>
        <w:spacing w:lineRule="auto" w:line="240"/>
        <w:jc w:val="both"/>
        <w:rPr>
          <w:rFonts w:cs="Arial"/>
        </w:rPr>
      </w:pPr>
      <w:r>
        <w:rPr>
          <w:rFonts w:cs="Arial"/>
          <w:b/>
        </w:rPr>
        <w:t>Kompetencje</w:t>
      </w:r>
      <w:r>
        <w:rPr>
          <w:rFonts w:cs="Arial"/>
        </w:rPr>
        <w:t xml:space="preserve"> –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p>
      <w:pPr>
        <w:pStyle w:val="ListParagraph"/>
        <w:numPr>
          <w:ilvl w:val="0"/>
          <w:numId w:val="7"/>
        </w:numPr>
        <w:spacing w:lineRule="auto" w:line="240"/>
        <w:jc w:val="both"/>
        <w:rPr>
          <w:rFonts w:cs="Arial"/>
          <w:lang w:eastAsia="pl-PL"/>
        </w:rPr>
      </w:pPr>
      <w:r>
        <w:rPr>
          <w:b/>
        </w:rPr>
        <w:t>Osoba niepełnosprawna</w:t>
      </w:r>
      <w:r>
        <w:rPr/>
        <w:t xml:space="preserve"> –</w:t>
      </w:r>
      <w:r>
        <w:rPr>
          <w:b/>
        </w:rPr>
        <w:t xml:space="preserve"> </w:t>
      </w:r>
      <w:r>
        <w:rPr/>
        <w:t>osoba niepełnosprawna w rozumieniu przepisów ustawy z dnia 27 sierpnia 1997 r. o rehabilitacji zawodowej i społecznej oraz zatrudnieniu osób niepełnosprawnych (Dz.U. z 2011 r. Nr 127 poz. 721, z późn. zm.) lub osoba z zaburzeniami psychicznymi, w rozumieniu ustawy z dnia 19 sierpnia 1994 r. o ochronie zdrowia psychicznego (t.j. Dz.U. z 2016 poz. 546, z późn. zm.), tj. osoby z odpowiednim orzeczeniem lub innym dokumentem poświadczającym stan zdrowia.</w:t>
      </w:r>
    </w:p>
    <w:p>
      <w:pPr>
        <w:pStyle w:val="ListParagraph"/>
        <w:numPr>
          <w:ilvl w:val="0"/>
          <w:numId w:val="7"/>
        </w:numPr>
        <w:spacing w:lineRule="auto" w:line="240"/>
        <w:jc w:val="both"/>
        <w:rPr/>
      </w:pPr>
      <w:r>
        <w:rPr>
          <w:rFonts w:cs="Arial"/>
          <w:b/>
          <w:bCs/>
          <w:color w:val="000000"/>
        </w:rPr>
        <w:t xml:space="preserve">Osoby o niskich kwalifikacjach </w:t>
      </w:r>
      <w:r>
        <w:rPr>
          <w:rFonts w:cs="Arial"/>
          <w:color w:val="000000"/>
        </w:rPr>
        <w:t xml:space="preserve">- osoby posiadające wykształcenie do poziomu ISCED 3 włącznie zgodnie z Międzynarodową Standardową Klasyfikacją Kształcenia (ISCED 2011) zaaprobowaną przez </w:t>
      </w:r>
    </w:p>
    <w:p>
      <w:pPr>
        <w:pStyle w:val="ListParagraph"/>
        <w:numPr>
          <w:ilvl w:val="0"/>
          <w:numId w:val="0"/>
        </w:numPr>
        <w:spacing w:lineRule="auto" w:line="240"/>
        <w:ind w:left="720" w:hanging="0"/>
        <w:jc w:val="both"/>
        <w:rPr>
          <w:rFonts w:cs="Arial"/>
          <w:color w:val="000000"/>
        </w:rPr>
      </w:pPr>
      <w:r>
        <w:rPr>
          <w:rFonts w:cs="Arial"/>
          <w:color w:val="000000"/>
        </w:rPr>
      </w:r>
    </w:p>
    <w:p>
      <w:pPr>
        <w:pStyle w:val="ListParagraph"/>
        <w:numPr>
          <w:ilvl w:val="0"/>
          <w:numId w:val="7"/>
        </w:numPr>
        <w:spacing w:lineRule="auto" w:line="240"/>
        <w:jc w:val="both"/>
        <w:rPr>
          <w:rFonts w:cs="Arial"/>
          <w:color w:val="000000"/>
        </w:rPr>
      </w:pPr>
      <w:r>
        <w:rPr>
          <w:rFonts w:cs="Arial"/>
          <w:color w:val="000000"/>
        </w:rPr>
        <w:t>Konferencję Ogólną UNESCO. Definicja poziomów wykształcenia (ISCED) została zawarta w Wytycznych w zakresie monitorowania postępu rzeczowego realizacji programów operacyjnych na lata 2014-2020.</w:t>
      </w:r>
    </w:p>
    <w:p>
      <w:pPr>
        <w:pStyle w:val="ListParagraph"/>
        <w:numPr>
          <w:ilvl w:val="0"/>
          <w:numId w:val="7"/>
        </w:numPr>
        <w:spacing w:lineRule="auto" w:line="240"/>
        <w:jc w:val="both"/>
        <w:rPr/>
      </w:pPr>
      <w:r>
        <w:rPr>
          <w:rFonts w:cs="Arial"/>
          <w:b/>
          <w:color w:val="000000"/>
        </w:rPr>
        <w:t>Osoby długotrwale bezrobotne</w:t>
      </w:r>
      <w:r>
        <w:rPr>
          <w:rFonts w:cs="Arial"/>
          <w:color w:val="000000"/>
        </w:rPr>
        <w:t>-  osoby bezrobotne nieprzerwanie przez okres 12 miesięcy</w:t>
      </w:r>
    </w:p>
    <w:p>
      <w:pPr>
        <w:pStyle w:val="ListParagraph"/>
        <w:numPr>
          <w:ilvl w:val="0"/>
          <w:numId w:val="0"/>
        </w:numPr>
        <w:spacing w:lineRule="auto" w:line="240"/>
        <w:ind w:left="720" w:hanging="0"/>
        <w:jc w:val="both"/>
        <w:rPr/>
      </w:pPr>
      <w:r>
        <w:rPr>
          <w:rFonts w:cs="Arial"/>
          <w:color w:val="000000"/>
        </w:rPr>
        <w:t xml:space="preserve"> </w:t>
      </w:r>
      <w:r>
        <w:rPr>
          <w:rFonts w:cs="Arial"/>
          <w:color w:val="000000"/>
        </w:rPr>
        <w:t>(&gt;12 miesięcy)do dnia udziału w projekcie (uwzględniając faktyczny czas pozostania bez zatrudnienia          również okres przed rejestracją w Powiatowym Urzędzie Pracy) .</w:t>
      </w:r>
    </w:p>
    <w:p>
      <w:pPr>
        <w:pStyle w:val="ListParagraph"/>
        <w:numPr>
          <w:ilvl w:val="0"/>
          <w:numId w:val="7"/>
        </w:numPr>
        <w:spacing w:lineRule="auto" w:line="240"/>
        <w:jc w:val="both"/>
        <w:rPr>
          <w:rFonts w:eastAsia="Arial" w:cs="Calibri" w:cstheme="minorHAnsi"/>
        </w:rPr>
      </w:pPr>
      <w:r>
        <w:rPr>
          <w:rFonts w:eastAsia="Arial" w:cs="Calibri" w:cstheme="minorHAnsi"/>
          <w:b/>
        </w:rPr>
        <w:t xml:space="preserve">Osoby bierne zawodowo </w:t>
      </w:r>
      <w:r>
        <w:rPr>
          <w:rFonts w:eastAsia="Arial" w:cs="Calibri" w:cstheme="minorHAnsi"/>
        </w:rPr>
        <w:t>– osoby, które w danej chwili nie tworzą zasobów siły</w:t>
      </w:r>
      <w:r>
        <w:rPr>
          <w:rFonts w:eastAsia="Arial" w:cs="Calibri" w:cstheme="minorHAnsi"/>
          <w:b/>
        </w:rPr>
        <w:t xml:space="preserve"> </w:t>
      </w:r>
      <w:r>
        <w:rPr>
          <w:rFonts w:eastAsia="Arial" w:cs="Calibri" w:cstheme="minorHAnsi"/>
        </w:rPr>
        <w:t>roboczej (tzn. nie pracują</w:t>
      </w:r>
      <w:r>
        <w:rPr>
          <w:rStyle w:val="Zakotwiczenieprzypisudolnego"/>
          <w:rFonts w:eastAsia="Arial" w:cs="Calibri" w:cstheme="minorHAnsi"/>
        </w:rPr>
        <w:footnoteReference w:id="2"/>
      </w:r>
      <w:r>
        <w:rPr>
          <w:rFonts w:eastAsia="Arial" w:cs="Calibri" w:cstheme="minorHAnsi"/>
        </w:rPr>
        <w:t xml:space="preserve"> i nie są bezrobotne). Osoby będące na urlopie wychowawczym (rozumianym</w:t>
      </w:r>
      <w:r>
        <w:rPr>
          <w:rFonts w:eastAsia="Arial" w:cs="Calibri" w:cstheme="minorHAnsi"/>
          <w:sz w:val="22"/>
          <w:szCs w:val="22"/>
        </w:rPr>
        <w:t xml:space="preserve"> </w:t>
      </w:r>
      <w:r>
        <w:rPr>
          <w:rFonts w:eastAsia="Arial" w:cs="Calibri" w:cstheme="minorHAnsi"/>
        </w:rPr>
        <w:t>jako nieobecność w pracy, spowodowana opieką nad</w:t>
      </w:r>
      <w:r>
        <w:rPr>
          <w:rFonts w:cs="Calibri" w:cstheme="minorHAnsi"/>
        </w:rPr>
        <w:t xml:space="preserve"> </w:t>
      </w:r>
      <w:r>
        <w:rPr>
          <w:rFonts w:eastAsia="Arial" w:cs="Calibri" w:cstheme="minorHAnsi"/>
        </w:rPr>
        <w:t>dzieckiem w okresie, który nie mieści się w ramach urlopu macierzyńskiego lub urlopu rodzicielskiego), są uznawane za bierne zawodowo, chyba że są zarejestrowane już jako bezrobotne (wówczas status bezrobotnego ma pierwszeństwo)</w:t>
      </w:r>
      <w:r>
        <w:rPr>
          <w:rStyle w:val="Zakotwiczenieprzypisudolnego"/>
          <w:rFonts w:eastAsia="Arial" w:cs="Calibri" w:cstheme="minorHAnsi"/>
        </w:rPr>
        <w:footnoteReference w:id="3"/>
      </w:r>
      <w:r>
        <w:rPr>
          <w:rFonts w:eastAsia="Arial" w:cs="Calibri" w:cstheme="minorHAnsi"/>
        </w:rPr>
        <w:t>.</w:t>
      </w:r>
    </w:p>
    <w:p>
      <w:pPr>
        <w:pStyle w:val="ListParagraph"/>
        <w:numPr>
          <w:ilvl w:val="0"/>
          <w:numId w:val="7"/>
        </w:numPr>
        <w:spacing w:lineRule="auto" w:line="240"/>
        <w:jc w:val="both"/>
        <w:rPr/>
      </w:pPr>
      <w:r>
        <w:rPr>
          <w:rFonts w:eastAsia="Arial" w:cs="Calibri" w:cstheme="minorHAnsi"/>
          <w:b/>
        </w:rPr>
        <w:t xml:space="preserve">Osoby bezrobotne </w:t>
      </w:r>
      <w:r>
        <w:rPr>
          <w:rFonts w:eastAsia="Arial" w:cs="Calibri" w:cstheme="minorHAnsi"/>
        </w:rPr>
        <w:t>– osoby pozostające bez pracy, gotowe do podjęcia pracy</w:t>
      </w:r>
      <w:r>
        <w:rPr>
          <w:rFonts w:eastAsia="Arial" w:cs="Calibri" w:cstheme="minorHAnsi"/>
          <w:b/>
        </w:rPr>
        <w:t xml:space="preserve"> </w:t>
      </w:r>
      <w:r>
        <w:rPr>
          <w:rFonts w:eastAsia="Arial" w:cs="Calibri" w:cstheme="minorHAnsi"/>
        </w:rPr>
        <w:t xml:space="preserve">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Osobykwalifikujące się do urlopu macierzyńskiego lub rodzicielskiego, które są bezrobotne w </w:t>
      </w:r>
    </w:p>
    <w:p>
      <w:pPr>
        <w:pStyle w:val="ListParagraph"/>
        <w:numPr>
          <w:ilvl w:val="0"/>
          <w:numId w:val="0"/>
        </w:numPr>
        <w:spacing w:lineRule="auto" w:line="240"/>
        <w:ind w:left="720" w:hanging="0"/>
        <w:jc w:val="both"/>
        <w:rPr>
          <w:rFonts w:eastAsia="Arial" w:cs="Calibri" w:cstheme="minorHAnsi"/>
        </w:rPr>
      </w:pPr>
      <w:r>
        <w:rPr>
          <w:rFonts w:eastAsia="Arial" w:cs="Calibri" w:cstheme="minorHAnsi"/>
        </w:rPr>
      </w:r>
    </w:p>
    <w:p>
      <w:pPr>
        <w:pStyle w:val="ListParagraph"/>
        <w:numPr>
          <w:ilvl w:val="0"/>
          <w:numId w:val="0"/>
        </w:numPr>
        <w:spacing w:lineRule="auto" w:line="240"/>
        <w:ind w:left="720" w:hanging="0"/>
        <w:jc w:val="both"/>
        <w:rPr/>
      </w:pPr>
      <w:r>
        <w:rPr>
          <w:rFonts w:eastAsia="Arial" w:cs="Calibri" w:cstheme="minorHAnsi"/>
        </w:rPr>
        <w:t xml:space="preserve">        </w:t>
      </w:r>
      <w:r>
        <w:rPr>
          <w:rFonts w:eastAsia="Arial" w:cs="Calibri" w:cstheme="minorHAnsi"/>
        </w:rPr>
        <w:t>rozumieniu niniejszej definicji (nie pobierają świadczeń z tytułu urlopu), są również osobami bezrobotnymi</w:t>
      </w:r>
      <w:r>
        <w:rPr>
          <w:rStyle w:val="Zakotwiczenieprzypisudolnego"/>
          <w:rFonts w:eastAsia="Arial" w:cs="Calibri" w:cstheme="minorHAnsi"/>
        </w:rPr>
        <w:footnoteReference w:id="4"/>
      </w:r>
      <w:r>
        <w:rPr>
          <w:rFonts w:eastAsia="Arial" w:cs="Calibri" w:cstheme="minorHAnsi"/>
        </w:rPr>
        <w:t>.</w:t>
      </w:r>
    </w:p>
    <w:p>
      <w:pPr>
        <w:pStyle w:val="ListParagraph"/>
        <w:numPr>
          <w:ilvl w:val="0"/>
          <w:numId w:val="7"/>
        </w:numPr>
        <w:jc w:val="both"/>
        <w:rPr>
          <w:rFonts w:eastAsia="Arial" w:cs="Calibri" w:cstheme="minorHAnsi"/>
          <w:b/>
          <w:b/>
        </w:rPr>
      </w:pPr>
      <w:r>
        <w:rPr>
          <w:rFonts w:eastAsia="Arial" w:cs="Calibri" w:cstheme="minorHAnsi"/>
          <w:b/>
        </w:rPr>
        <w:t xml:space="preserve">Zatrudnienie subsydiowane </w:t>
      </w:r>
      <w:r>
        <w:rPr>
          <w:rFonts w:eastAsia="Arial" w:cs="Calibri" w:cstheme="minorHAnsi"/>
        </w:rPr>
        <w:t>– forma pomocy finansowej dla pracodawcy stanowiąca zachętę do zatrudnienia, zakładająca redukcję kosztów ponoszonych przez niego na zatrudnienie pracowników zgodnie z art. 32 i 33 rozporządzenia Komisji (UE) nr 651/2014 z dnia 17 czerwca 2014 r. uznającego niektóre rodzaje pomocy za zgodne z rynkiem wewnętrznym w zastosowaniu art. 107 i 108 Traktatu (Dz.Urz.</w:t>
        <w:tab/>
        <w:t xml:space="preserve"> UE L 187 z 26 czerwca 2014 r., str. 1, z późn. zm.) oraz zgodnie z rozporządzeniem Komisji (UE) nr 1407/2013 z dnia 18 grudnia 2013 r. w sprawie stosowania art. 107 i 108 Traktatu o funkcjonowaniu Unii Europejskiej do pomocy </w:t>
      </w:r>
      <w:r>
        <w:rPr>
          <w:rFonts w:eastAsia="Arial" w:cs="Calibri" w:cstheme="minorHAnsi"/>
          <w:i/>
        </w:rPr>
        <w:t>de minimis</w:t>
      </w:r>
      <w:r>
        <w:rPr>
          <w:rFonts w:eastAsia="Arial" w:cs="Calibri" w:cstheme="minorHAnsi"/>
        </w:rPr>
        <w:t xml:space="preserve"> (Dz.Urz. UE L 352 z 24 grudnia 2013 r., str. 1)</w:t>
      </w:r>
    </w:p>
    <w:p>
      <w:pPr>
        <w:pStyle w:val="ListParagraph"/>
        <w:numPr>
          <w:ilvl w:val="0"/>
          <w:numId w:val="7"/>
        </w:numPr>
        <w:jc w:val="both"/>
        <w:rPr/>
      </w:pPr>
      <w:r>
        <w:rPr>
          <w:b/>
        </w:rPr>
        <w:t>Zatrudnienie wspomagane</w:t>
      </w:r>
      <w:r>
        <w:rPr/>
        <w:t xml:space="preserve"> – forma zintegrowanego, zindywidualizowanego wsparcia osób z niepełnosprawnościami, mająca na celu uzyskanie oraz utrzymanie zatrudnienia poprzez wsparcie trenera pracy, obejmująca działania motywacyjne, pomoc w określeniu rozwoju zawodowego, umiejętności miękkie, pośrednictwo pracy oraz wsparcie w miejscu pracy i poza pracą.</w:t>
      </w:r>
    </w:p>
    <w:p>
      <w:pPr>
        <w:pStyle w:val="Normal"/>
        <w:tabs>
          <w:tab w:val="left" w:pos="720" w:leader="none"/>
        </w:tabs>
        <w:spacing w:before="0" w:after="0"/>
        <w:jc w:val="both"/>
        <w:rPr>
          <w:b/>
          <w:b/>
        </w:rPr>
      </w:pPr>
      <w:r>
        <w:rPr>
          <w:b/>
        </w:rPr>
      </w:r>
    </w:p>
    <w:p>
      <w:pPr>
        <w:pStyle w:val="Normal"/>
        <w:spacing w:lineRule="auto" w:line="240"/>
        <w:jc w:val="center"/>
        <w:rPr>
          <w:b/>
          <w:b/>
          <w:sz w:val="24"/>
          <w:szCs w:val="24"/>
        </w:rPr>
      </w:pPr>
      <w:r>
        <w:rPr>
          <w:b/>
          <w:sz w:val="24"/>
          <w:szCs w:val="24"/>
        </w:rPr>
        <w:t>§ 3</w:t>
      </w:r>
    </w:p>
    <w:p>
      <w:pPr>
        <w:pStyle w:val="Normal"/>
        <w:spacing w:lineRule="auto" w:line="240"/>
        <w:jc w:val="center"/>
        <w:rPr>
          <w:b/>
          <w:b/>
          <w:sz w:val="24"/>
          <w:szCs w:val="24"/>
        </w:rPr>
      </w:pPr>
      <w:r>
        <w:rPr>
          <w:b/>
          <w:sz w:val="24"/>
          <w:szCs w:val="24"/>
        </w:rPr>
        <w:t>Warunki uczestnictwa w projekcie</w:t>
      </w:r>
    </w:p>
    <w:p>
      <w:pPr>
        <w:pStyle w:val="ListParagraph"/>
        <w:numPr>
          <w:ilvl w:val="0"/>
          <w:numId w:val="8"/>
        </w:numPr>
        <w:spacing w:lineRule="auto" w:line="240"/>
        <w:jc w:val="both"/>
        <w:rPr/>
      </w:pPr>
      <w:r>
        <w:rPr/>
        <w:t xml:space="preserve">Projekt skierowany jest do 53 osób (28 kobiet, 25 mężczyzn) powyżej 30 r. życia znajdujących się </w:t>
        <w:br/>
        <w:t>w najtrudniejszej sytuacji zawodowej w tym 34 bezrobotnych (17K 16M), z czego 19 (11K, 8M) długotrwale oraz 19 osób (10K, 9M) biernych zawodowo. Z tej grupy 16 osób (7K, 9M) to osoby o niskich kwalifikacjach, 8 osób (4K, 4M) powyżej 50 r. życia, a 5 osób (2K, 3M) to osoby z niepełnosprawnościami.</w:t>
      </w:r>
    </w:p>
    <w:p>
      <w:pPr>
        <w:pStyle w:val="ListParagraph"/>
        <w:numPr>
          <w:ilvl w:val="0"/>
          <w:numId w:val="8"/>
        </w:numPr>
        <w:spacing w:lineRule="auto" w:line="240"/>
        <w:jc w:val="both"/>
        <w:rPr/>
      </w:pPr>
      <w:r>
        <w:rPr/>
        <w:t>Kandydatka/Kandydat na Uczestniczkę/Uczestnika projektu musi spełniać jednocześnie następujące warunki formalne:</w:t>
      </w:r>
    </w:p>
    <w:p>
      <w:pPr>
        <w:pStyle w:val="ListParagraph"/>
        <w:numPr>
          <w:ilvl w:val="0"/>
          <w:numId w:val="3"/>
        </w:numPr>
        <w:spacing w:lineRule="auto" w:line="240"/>
        <w:jc w:val="both"/>
        <w:rPr/>
      </w:pPr>
      <w:r>
        <w:rPr/>
        <w:t>być mieszkańcem powiatu puckiego;</w:t>
      </w:r>
    </w:p>
    <w:p>
      <w:pPr>
        <w:pStyle w:val="ListParagraph"/>
        <w:numPr>
          <w:ilvl w:val="0"/>
          <w:numId w:val="3"/>
        </w:numPr>
        <w:spacing w:lineRule="auto" w:line="240"/>
        <w:jc w:val="both"/>
        <w:rPr/>
      </w:pPr>
      <w:r>
        <w:rPr/>
        <w:t>być osobą bezrobotną lub osobą bierną zawodowo, zgodnie z definicją zawartą w § 2 niniejszego Regulaminu.</w:t>
      </w:r>
    </w:p>
    <w:p>
      <w:pPr>
        <w:pStyle w:val="ListParagraph"/>
        <w:numPr>
          <w:ilvl w:val="0"/>
          <w:numId w:val="3"/>
        </w:numPr>
        <w:spacing w:lineRule="auto" w:line="240"/>
        <w:jc w:val="both"/>
        <w:rPr/>
      </w:pPr>
      <w:r>
        <w:rPr/>
        <w:t>być osobą w wieku powyżej 30 roku życia – tj. od dnia ukończenia 30 roku życia i należeć do co najmniej jednej z poniższych grup:</w:t>
      </w:r>
    </w:p>
    <w:p>
      <w:pPr>
        <w:pStyle w:val="ListParagraph"/>
        <w:numPr>
          <w:ilvl w:val="0"/>
          <w:numId w:val="25"/>
        </w:numPr>
        <w:spacing w:lineRule="auto" w:line="240"/>
        <w:jc w:val="both"/>
        <w:rPr/>
      </w:pPr>
      <w:r>
        <w:rPr>
          <w:iCs/>
        </w:rPr>
        <w:t>osoby w wieku</w:t>
      </w:r>
      <w:r>
        <w:rPr>
          <w:rStyle w:val="Zakotwiczenieprzypisudolnego"/>
          <w:iCs/>
        </w:rPr>
        <w:footnoteReference w:id="5"/>
      </w:r>
      <w:r>
        <w:rPr>
          <w:iCs/>
        </w:rPr>
        <w:t xml:space="preserve"> 50 lat i więcej;</w:t>
      </w:r>
    </w:p>
    <w:p>
      <w:pPr>
        <w:pStyle w:val="ListParagraph"/>
        <w:numPr>
          <w:ilvl w:val="0"/>
          <w:numId w:val="25"/>
        </w:numPr>
        <w:spacing w:lineRule="auto" w:line="240"/>
        <w:jc w:val="both"/>
        <w:rPr/>
      </w:pPr>
      <w:r>
        <w:rPr>
          <w:iCs/>
        </w:rPr>
        <w:t>kobiety;</w:t>
      </w:r>
    </w:p>
    <w:p>
      <w:pPr>
        <w:pStyle w:val="ListParagraph"/>
        <w:numPr>
          <w:ilvl w:val="0"/>
          <w:numId w:val="25"/>
        </w:numPr>
        <w:spacing w:lineRule="auto" w:line="240"/>
        <w:jc w:val="both"/>
        <w:rPr/>
      </w:pPr>
      <w:r>
        <w:rPr>
          <w:iCs/>
        </w:rPr>
        <w:t>osoby z niepełnosprawnościami;</w:t>
      </w:r>
    </w:p>
    <w:p>
      <w:pPr>
        <w:pStyle w:val="ListParagraph"/>
        <w:numPr>
          <w:ilvl w:val="0"/>
          <w:numId w:val="25"/>
        </w:numPr>
        <w:spacing w:lineRule="auto" w:line="240"/>
        <w:jc w:val="both"/>
        <w:rPr/>
      </w:pPr>
      <w:r>
        <w:rPr>
          <w:iCs/>
        </w:rPr>
        <w:t>osoby długotrwale bezrobotne;</w:t>
      </w:r>
    </w:p>
    <w:p>
      <w:pPr>
        <w:pStyle w:val="ListParagraph"/>
        <w:numPr>
          <w:ilvl w:val="0"/>
          <w:numId w:val="25"/>
        </w:numPr>
        <w:spacing w:lineRule="auto" w:line="240"/>
        <w:jc w:val="both"/>
        <w:rPr/>
      </w:pPr>
      <w:r>
        <w:rPr>
          <w:iCs/>
        </w:rPr>
        <w:t xml:space="preserve">osoby o niskich kwalifikacjach.  </w:t>
      </w:r>
    </w:p>
    <w:p>
      <w:pPr>
        <w:pStyle w:val="ListParagraph"/>
        <w:spacing w:lineRule="auto" w:line="240"/>
        <w:ind w:left="1440" w:hanging="0"/>
        <w:jc w:val="both"/>
        <w:rPr/>
      </w:pPr>
      <w:r>
        <w:rPr/>
      </w:r>
    </w:p>
    <w:p>
      <w:pPr>
        <w:pStyle w:val="Normal"/>
        <w:jc w:val="center"/>
        <w:rPr>
          <w:b/>
          <w:b/>
          <w:sz w:val="24"/>
          <w:szCs w:val="24"/>
        </w:rPr>
      </w:pPr>
      <w:r>
        <w:rPr>
          <w:b/>
          <w:sz w:val="24"/>
          <w:szCs w:val="24"/>
        </w:rPr>
      </w:r>
    </w:p>
    <w:p>
      <w:pPr>
        <w:pStyle w:val="Normal"/>
        <w:jc w:val="center"/>
        <w:rPr/>
      </w:pPr>
      <w:r>
        <w:rPr>
          <w:b/>
          <w:sz w:val="24"/>
          <w:szCs w:val="24"/>
        </w:rPr>
        <w:t>§ 4</w:t>
      </w:r>
    </w:p>
    <w:p>
      <w:pPr>
        <w:pStyle w:val="Normal"/>
        <w:jc w:val="center"/>
        <w:rPr>
          <w:b/>
          <w:b/>
          <w:sz w:val="24"/>
          <w:szCs w:val="24"/>
        </w:rPr>
      </w:pPr>
      <w:r>
        <w:rPr>
          <w:b/>
          <w:sz w:val="24"/>
          <w:szCs w:val="24"/>
        </w:rPr>
        <w:t>Zakres wsparcia</w:t>
      </w:r>
    </w:p>
    <w:p>
      <w:pPr>
        <w:pStyle w:val="ListParagraph"/>
        <w:numPr>
          <w:ilvl w:val="0"/>
          <w:numId w:val="1"/>
        </w:numPr>
        <w:spacing w:lineRule="auto" w:line="240" w:before="100" w:after="0"/>
        <w:ind w:left="720" w:hanging="357"/>
        <w:contextualSpacing/>
        <w:jc w:val="both"/>
        <w:rPr>
          <w:rFonts w:ascii="Calibri" w:hAnsi="Calibri"/>
          <w:iCs/>
        </w:rPr>
      </w:pPr>
      <w:r>
        <w:rPr>
          <w:iCs/>
        </w:rPr>
        <w:t>Każdy z uczestników projektu otrzyma ofertę wsparcia na podstawie wypracowanego przy udziale doradcy zawodowego i pośrednika pracy Indywidualnego Planu Działania (IPD) określającego ścieżkę rozwoju zawodowego.</w:t>
      </w:r>
    </w:p>
    <w:p>
      <w:pPr>
        <w:pStyle w:val="ListParagraph"/>
        <w:numPr>
          <w:ilvl w:val="0"/>
          <w:numId w:val="1"/>
        </w:numPr>
        <w:spacing w:lineRule="auto" w:line="240" w:before="100" w:after="0"/>
        <w:ind w:left="720" w:hanging="357"/>
        <w:contextualSpacing/>
        <w:jc w:val="both"/>
        <w:rPr>
          <w:rFonts w:ascii="Calibri" w:hAnsi="Calibri"/>
          <w:iCs/>
        </w:rPr>
      </w:pPr>
      <w:r>
        <w:rPr>
          <w:iCs/>
        </w:rPr>
        <w:t>Możliwe formy wsparcia:</w:t>
      </w:r>
    </w:p>
    <w:p>
      <w:pPr>
        <w:pStyle w:val="ListParagraph"/>
        <w:numPr>
          <w:ilvl w:val="0"/>
          <w:numId w:val="4"/>
        </w:numPr>
        <w:spacing w:lineRule="auto" w:line="240" w:before="100" w:after="0"/>
        <w:contextualSpacing/>
        <w:jc w:val="both"/>
        <w:rPr>
          <w:rFonts w:ascii="Calibri" w:hAnsi="Calibri"/>
          <w:iCs/>
        </w:rPr>
      </w:pPr>
      <w:r>
        <w:rPr>
          <w:iCs/>
        </w:rPr>
        <w:t>doradztwo zawodowe;</w:t>
      </w:r>
    </w:p>
    <w:p>
      <w:pPr>
        <w:pStyle w:val="ListParagraph"/>
        <w:numPr>
          <w:ilvl w:val="0"/>
          <w:numId w:val="4"/>
        </w:numPr>
        <w:spacing w:lineRule="auto" w:line="240" w:before="100" w:after="0"/>
        <w:contextualSpacing/>
        <w:jc w:val="both"/>
        <w:rPr>
          <w:rFonts w:ascii="Calibri" w:hAnsi="Calibri"/>
          <w:iCs/>
        </w:rPr>
      </w:pPr>
      <w:r>
        <w:rPr>
          <w:iCs/>
        </w:rPr>
        <w:t>spotkania z psychologiem;</w:t>
      </w:r>
    </w:p>
    <w:p>
      <w:pPr>
        <w:pStyle w:val="ListParagraph"/>
        <w:numPr>
          <w:ilvl w:val="0"/>
          <w:numId w:val="4"/>
        </w:numPr>
        <w:spacing w:lineRule="auto" w:line="240" w:before="100" w:after="0"/>
        <w:contextualSpacing/>
        <w:jc w:val="both"/>
        <w:rPr>
          <w:rFonts w:ascii="Calibri" w:hAnsi="Calibri"/>
          <w:iCs/>
        </w:rPr>
      </w:pPr>
      <w:r>
        <w:rPr/>
        <w:t>warsztaty/szkolenia z zakresu technik aktywnego poszukiwania pracy oraz nabywania kompetencji kluczowych niezbędnych na rynku pracy;</w:t>
      </w:r>
    </w:p>
    <w:p>
      <w:pPr>
        <w:pStyle w:val="ListParagraph"/>
        <w:numPr>
          <w:ilvl w:val="0"/>
          <w:numId w:val="4"/>
        </w:numPr>
        <w:spacing w:lineRule="auto" w:line="240" w:before="100" w:after="0"/>
        <w:contextualSpacing/>
        <w:jc w:val="both"/>
        <w:rPr>
          <w:rFonts w:ascii="Calibri" w:hAnsi="Calibri"/>
          <w:iCs/>
        </w:rPr>
      </w:pPr>
      <w:r>
        <w:rPr/>
        <w:t>kursy i szkolenia zawodowe;</w:t>
      </w:r>
    </w:p>
    <w:p>
      <w:pPr>
        <w:pStyle w:val="ListParagraph"/>
        <w:numPr>
          <w:ilvl w:val="0"/>
          <w:numId w:val="4"/>
        </w:numPr>
        <w:spacing w:lineRule="auto" w:line="240" w:before="100" w:after="0"/>
        <w:contextualSpacing/>
        <w:jc w:val="both"/>
        <w:rPr>
          <w:rFonts w:ascii="Calibri" w:hAnsi="Calibri"/>
          <w:iCs/>
        </w:rPr>
      </w:pPr>
      <w:r>
        <w:rPr/>
        <w:t>staże/ praktyki zawodowe;</w:t>
      </w:r>
    </w:p>
    <w:p>
      <w:pPr>
        <w:pStyle w:val="ListParagraph"/>
        <w:numPr>
          <w:ilvl w:val="0"/>
          <w:numId w:val="4"/>
        </w:numPr>
        <w:spacing w:lineRule="auto" w:line="240" w:before="100" w:after="0"/>
        <w:contextualSpacing/>
        <w:jc w:val="both"/>
        <w:rPr>
          <w:rFonts w:ascii="Calibri" w:hAnsi="Calibri"/>
          <w:iCs/>
        </w:rPr>
      </w:pPr>
      <w:r>
        <w:rPr/>
        <w:t>subsydiowane zatrudnienie;</w:t>
      </w:r>
    </w:p>
    <w:p>
      <w:pPr>
        <w:pStyle w:val="ListParagraph"/>
        <w:numPr>
          <w:ilvl w:val="0"/>
          <w:numId w:val="4"/>
        </w:numPr>
        <w:spacing w:lineRule="auto" w:line="240" w:before="100" w:after="0"/>
        <w:contextualSpacing/>
        <w:jc w:val="both"/>
        <w:rPr>
          <w:rFonts w:ascii="Calibri" w:hAnsi="Calibri"/>
          <w:iCs/>
        </w:rPr>
      </w:pPr>
      <w:r>
        <w:rPr/>
        <w:t>zatrudnienie wspomagane dla osób z niepełnosprawnościami (wsparcie trenera pracy).</w:t>
      </w:r>
    </w:p>
    <w:p>
      <w:pPr>
        <w:pStyle w:val="Normal"/>
        <w:spacing w:before="0" w:after="0"/>
        <w:jc w:val="both"/>
        <w:rPr>
          <w:rFonts w:ascii="Calibri" w:hAnsi="Calibri"/>
          <w:sz w:val="24"/>
          <w:szCs w:val="24"/>
        </w:rPr>
      </w:pPr>
      <w:r>
        <w:rPr>
          <w:sz w:val="24"/>
          <w:szCs w:val="24"/>
        </w:rPr>
      </w:r>
    </w:p>
    <w:p>
      <w:pPr>
        <w:pStyle w:val="Normal"/>
        <w:jc w:val="center"/>
        <w:rPr>
          <w:b/>
          <w:b/>
          <w:sz w:val="24"/>
          <w:szCs w:val="24"/>
        </w:rPr>
      </w:pPr>
      <w:r>
        <w:rPr>
          <w:b/>
          <w:sz w:val="24"/>
          <w:szCs w:val="24"/>
        </w:rPr>
        <w:t>§ 5</w:t>
      </w:r>
    </w:p>
    <w:p>
      <w:pPr>
        <w:pStyle w:val="Normal"/>
        <w:jc w:val="center"/>
        <w:rPr>
          <w:b/>
          <w:b/>
          <w:sz w:val="24"/>
          <w:szCs w:val="24"/>
        </w:rPr>
      </w:pPr>
      <w:r>
        <w:rPr>
          <w:b/>
          <w:sz w:val="24"/>
          <w:szCs w:val="24"/>
        </w:rPr>
        <w:t>Wyłączenia z udziału w Projekcie</w:t>
      </w:r>
    </w:p>
    <w:p>
      <w:pPr>
        <w:pStyle w:val="Normal"/>
        <w:spacing w:lineRule="auto" w:line="240"/>
        <w:jc w:val="both"/>
        <w:rPr>
          <w:sz w:val="20"/>
          <w:szCs w:val="20"/>
        </w:rPr>
      </w:pPr>
      <w:r>
        <w:rPr>
          <w:sz w:val="20"/>
          <w:szCs w:val="20"/>
        </w:rPr>
        <w:t>W Projekcie nie mogą brać udziału osoby, które w dniu podpisania Umowy udziału w projekcie :</w:t>
      </w:r>
    </w:p>
    <w:p>
      <w:pPr>
        <w:pStyle w:val="ListParagraph"/>
        <w:numPr>
          <w:ilvl w:val="0"/>
          <w:numId w:val="9"/>
        </w:numPr>
        <w:spacing w:lineRule="auto" w:line="240"/>
        <w:jc w:val="both"/>
        <w:rPr/>
      </w:pPr>
      <w:r>
        <w:rPr/>
        <w:t>nie spełniają warunków wskazanych w § 3;</w:t>
      </w:r>
    </w:p>
    <w:p>
      <w:pPr>
        <w:pStyle w:val="ListParagraph"/>
        <w:numPr>
          <w:ilvl w:val="0"/>
          <w:numId w:val="9"/>
        </w:numPr>
        <w:spacing w:lineRule="auto" w:line="240"/>
        <w:jc w:val="both"/>
        <w:rPr/>
      </w:pPr>
      <w:r>
        <w:rPr/>
        <w:t>uczestniczą w tym samym czasie w innym projekcie finansowanym ze środków publicznych, oferującym tożsame formy wsparcia.</w:t>
      </w:r>
    </w:p>
    <w:p>
      <w:pPr>
        <w:pStyle w:val="Normal"/>
        <w:ind w:firstLine="708"/>
        <w:jc w:val="both"/>
        <w:rPr/>
      </w:pPr>
      <w:r>
        <w:rPr/>
      </w:r>
    </w:p>
    <w:p>
      <w:pPr>
        <w:pStyle w:val="Normal"/>
        <w:ind w:firstLine="708"/>
        <w:jc w:val="center"/>
        <w:rPr>
          <w:b/>
          <w:b/>
          <w:sz w:val="24"/>
          <w:szCs w:val="24"/>
        </w:rPr>
      </w:pPr>
      <w:r>
        <w:rPr>
          <w:b/>
          <w:sz w:val="24"/>
          <w:szCs w:val="24"/>
        </w:rPr>
        <w:t>§ 6</w:t>
      </w:r>
    </w:p>
    <w:p>
      <w:pPr>
        <w:pStyle w:val="Normal"/>
        <w:ind w:firstLine="708"/>
        <w:jc w:val="center"/>
        <w:rPr>
          <w:b/>
          <w:b/>
          <w:sz w:val="24"/>
          <w:szCs w:val="24"/>
        </w:rPr>
      </w:pPr>
      <w:r>
        <w:rPr>
          <w:b/>
          <w:sz w:val="24"/>
          <w:szCs w:val="24"/>
        </w:rPr>
        <w:t>Dokumenty rekrutacyjne</w:t>
      </w:r>
    </w:p>
    <w:p>
      <w:pPr>
        <w:pStyle w:val="ListParagraph"/>
        <w:numPr>
          <w:ilvl w:val="0"/>
          <w:numId w:val="10"/>
        </w:numPr>
        <w:spacing w:lineRule="auto" w:line="240"/>
        <w:jc w:val="both"/>
        <w:rPr/>
      </w:pPr>
      <w:r>
        <w:rPr/>
        <w:t>Warunkiem zgłoszenia Kandydatki/Kandydata do projektu jest:</w:t>
      </w:r>
    </w:p>
    <w:p>
      <w:pPr>
        <w:pStyle w:val="ListParagraph"/>
        <w:numPr>
          <w:ilvl w:val="0"/>
          <w:numId w:val="11"/>
        </w:numPr>
        <w:spacing w:lineRule="auto" w:line="240"/>
        <w:jc w:val="both"/>
        <w:rPr/>
      </w:pPr>
      <w:r>
        <w:rPr/>
        <w:t>zapoznanie się z niniejszym regulaminem;</w:t>
      </w:r>
    </w:p>
    <w:p>
      <w:pPr>
        <w:pStyle w:val="ListParagraph"/>
        <w:numPr>
          <w:ilvl w:val="0"/>
          <w:numId w:val="11"/>
        </w:numPr>
        <w:spacing w:lineRule="auto" w:line="240"/>
        <w:jc w:val="both"/>
        <w:rPr/>
      </w:pPr>
      <w:r>
        <w:rPr/>
        <w:t>podpisanie i złożenie w Biurze dokumentów rekrutacyjnych:</w:t>
      </w:r>
    </w:p>
    <w:p>
      <w:pPr>
        <w:pStyle w:val="ListParagraph"/>
        <w:numPr>
          <w:ilvl w:val="3"/>
          <w:numId w:val="2"/>
        </w:numPr>
        <w:spacing w:lineRule="auto" w:line="240"/>
        <w:jc w:val="both"/>
        <w:rPr/>
      </w:pPr>
      <w:r>
        <w:rPr/>
        <w:t>Formularza zgłoszeniowego- stanowiącego załącznik nr 1 do Regulaminu rekrutacji i udziału w projekcie;</w:t>
      </w:r>
    </w:p>
    <w:p>
      <w:pPr>
        <w:pStyle w:val="ListParagraph"/>
        <w:numPr>
          <w:ilvl w:val="3"/>
          <w:numId w:val="2"/>
        </w:numPr>
        <w:spacing w:lineRule="auto" w:line="240"/>
        <w:jc w:val="both"/>
        <w:rPr/>
      </w:pPr>
      <w:r>
        <w:rPr/>
        <w:t xml:space="preserve">Zaświadczenia z Urzędu Pracy potwierdzającego status na rynku pracy – </w:t>
        <w:br/>
        <w:t>w przypadku osób bezrobotnych;</w:t>
      </w:r>
    </w:p>
    <w:p>
      <w:pPr>
        <w:pStyle w:val="ListParagraph"/>
        <w:numPr>
          <w:ilvl w:val="3"/>
          <w:numId w:val="2"/>
        </w:numPr>
        <w:spacing w:lineRule="auto" w:line="240"/>
        <w:jc w:val="both"/>
        <w:rPr/>
      </w:pPr>
      <w:r>
        <w:rPr/>
        <w:t xml:space="preserve">Oświadczenia o pozostawaniu osobą bierną zawodowo – w przypadku osób biernych zawodowo; </w:t>
      </w:r>
    </w:p>
    <w:p>
      <w:pPr>
        <w:pStyle w:val="ListParagraph"/>
        <w:numPr>
          <w:ilvl w:val="3"/>
          <w:numId w:val="2"/>
        </w:numPr>
        <w:spacing w:lineRule="auto" w:line="240"/>
        <w:jc w:val="both"/>
        <w:rPr/>
      </w:pPr>
      <w:r>
        <w:rPr/>
        <w:t xml:space="preserve">Orzeczenia o stopniu niepełnosprawności – w przypadku osób </w:t>
        <w:br/>
        <w:t>z niepełnosprawnościami.</w:t>
      </w:r>
    </w:p>
    <w:p>
      <w:pPr>
        <w:pStyle w:val="ListParagraph"/>
        <w:numPr>
          <w:ilvl w:val="0"/>
          <w:numId w:val="5"/>
        </w:numPr>
        <w:spacing w:lineRule="auto" w:line="240"/>
        <w:jc w:val="both"/>
        <w:rPr/>
      </w:pPr>
      <w:r>
        <w:rPr/>
        <w:t>Dokumenty dostępne są na stronie www.phenomen.pl oraz w Biurze w Pucku, przy ul. Wejherowskiej 16/2.</w:t>
      </w:r>
    </w:p>
    <w:p>
      <w:pPr>
        <w:pStyle w:val="ListParagraph"/>
        <w:numPr>
          <w:ilvl w:val="0"/>
          <w:numId w:val="5"/>
        </w:numPr>
        <w:spacing w:lineRule="auto" w:line="240"/>
        <w:jc w:val="both"/>
        <w:rPr/>
      </w:pPr>
      <w:r>
        <w:rPr/>
        <w:t>Dokumenty można składać osobiście lub listownie.</w:t>
      </w:r>
    </w:p>
    <w:p>
      <w:pPr>
        <w:pStyle w:val="ListParagraph"/>
        <w:spacing w:lineRule="auto" w:line="240"/>
        <w:jc w:val="both"/>
        <w:rPr/>
      </w:pPr>
      <w:r>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t>§ 7</w:t>
      </w:r>
    </w:p>
    <w:p>
      <w:pPr>
        <w:pStyle w:val="Normal"/>
        <w:jc w:val="center"/>
        <w:rPr>
          <w:b/>
          <w:b/>
          <w:sz w:val="24"/>
          <w:szCs w:val="24"/>
        </w:rPr>
      </w:pPr>
      <w:r>
        <w:rPr>
          <w:b/>
          <w:sz w:val="24"/>
          <w:szCs w:val="24"/>
        </w:rPr>
        <w:t>Zasady rekrutacji</w:t>
      </w:r>
    </w:p>
    <w:p>
      <w:pPr>
        <w:pStyle w:val="ListParagraph"/>
        <w:numPr>
          <w:ilvl w:val="0"/>
          <w:numId w:val="12"/>
        </w:numPr>
        <w:spacing w:lineRule="auto" w:line="240"/>
        <w:jc w:val="both"/>
        <w:rPr/>
      </w:pPr>
      <w:r>
        <w:rPr/>
        <w:t xml:space="preserve">Rekrutacja uczestników projektu prowadzona będzie w sposób ciągły w okresie od kwietnia 2018 r . </w:t>
        <w:br/>
        <w:t>do grudnia 2018 roku lub do momentu wyczerpania miejsc w projekcie.</w:t>
      </w:r>
    </w:p>
    <w:p>
      <w:pPr>
        <w:pStyle w:val="ListParagraph"/>
        <w:numPr>
          <w:ilvl w:val="0"/>
          <w:numId w:val="12"/>
        </w:numPr>
        <w:spacing w:lineRule="auto" w:line="240"/>
        <w:jc w:val="both"/>
        <w:rPr/>
      </w:pPr>
      <w:r>
        <w:rPr/>
        <w:t xml:space="preserve">Proces rekrutacji jest jawny i otwarty, prowadzony z zachowaniem równości szans i niedyskryminacji oraz równości szans kobiet i mężczyzn. </w:t>
      </w:r>
    </w:p>
    <w:p>
      <w:pPr>
        <w:pStyle w:val="ListParagraph"/>
        <w:numPr>
          <w:ilvl w:val="0"/>
          <w:numId w:val="12"/>
        </w:numPr>
        <w:spacing w:lineRule="auto" w:line="240"/>
        <w:jc w:val="both"/>
        <w:rPr/>
      </w:pPr>
      <w:r>
        <w:rPr/>
        <w:t xml:space="preserve">Za wyłonienie Uczestników Projektu odpowiada Komisja Rekrutacyjna w składzie: </w:t>
      </w:r>
    </w:p>
    <w:p>
      <w:pPr>
        <w:pStyle w:val="ListParagraph"/>
        <w:numPr>
          <w:ilvl w:val="0"/>
          <w:numId w:val="13"/>
        </w:numPr>
        <w:spacing w:lineRule="auto" w:line="240"/>
        <w:ind w:left="720" w:firstLine="2115"/>
        <w:jc w:val="both"/>
        <w:rPr/>
      </w:pPr>
      <w:r>
        <w:rPr/>
        <w:t>Koordynator Projektu;</w:t>
      </w:r>
    </w:p>
    <w:p>
      <w:pPr>
        <w:pStyle w:val="ListParagraph"/>
        <w:numPr>
          <w:ilvl w:val="0"/>
          <w:numId w:val="13"/>
        </w:numPr>
        <w:spacing w:lineRule="auto" w:line="240"/>
        <w:ind w:left="720" w:firstLine="2115"/>
        <w:jc w:val="both"/>
        <w:rPr/>
      </w:pPr>
      <w:r>
        <w:rPr/>
        <w:t>Specjalista ds. rozliczeń;</w:t>
      </w:r>
    </w:p>
    <w:p>
      <w:pPr>
        <w:pStyle w:val="ListParagraph"/>
        <w:numPr>
          <w:ilvl w:val="0"/>
          <w:numId w:val="13"/>
        </w:numPr>
        <w:spacing w:lineRule="auto" w:line="240"/>
        <w:ind w:left="720" w:firstLine="2115"/>
        <w:jc w:val="both"/>
        <w:rPr/>
      </w:pPr>
      <w:r>
        <w:rPr/>
        <w:t>Doradca zawodowy.</w:t>
      </w:r>
    </w:p>
    <w:p>
      <w:pPr>
        <w:pStyle w:val="ListParagraph"/>
        <w:numPr>
          <w:ilvl w:val="0"/>
          <w:numId w:val="12"/>
        </w:numPr>
        <w:spacing w:lineRule="auto" w:line="240"/>
        <w:jc w:val="both"/>
        <w:rPr/>
      </w:pPr>
      <w:r>
        <w:rPr/>
        <w:t>Komisja Rekrutacyjna będzie kwalifikować uczestników do projektu na podstawie:</w:t>
      </w:r>
    </w:p>
    <w:p>
      <w:pPr>
        <w:pStyle w:val="ListParagraph"/>
        <w:numPr>
          <w:ilvl w:val="0"/>
          <w:numId w:val="14"/>
        </w:numPr>
        <w:spacing w:lineRule="auto" w:line="240"/>
        <w:jc w:val="both"/>
        <w:rPr/>
      </w:pPr>
      <w:r>
        <w:rPr/>
        <w:t xml:space="preserve">oceny formalnej: </w:t>
      </w:r>
    </w:p>
    <w:p>
      <w:pPr>
        <w:pStyle w:val="ListParagraph"/>
        <w:numPr>
          <w:ilvl w:val="0"/>
          <w:numId w:val="15"/>
        </w:numPr>
        <w:spacing w:lineRule="auto" w:line="240"/>
        <w:jc w:val="both"/>
        <w:rPr/>
      </w:pPr>
      <w:r>
        <w:rPr/>
        <w:t>kompletność złożonych dokumentów i danych (wypełnienie wszystkich wymaganych pól, czytelne podpisy, kompletność dokumentów rekrutacyjnych);</w:t>
      </w:r>
    </w:p>
    <w:p>
      <w:pPr>
        <w:pStyle w:val="ListParagraph"/>
        <w:numPr>
          <w:ilvl w:val="0"/>
          <w:numId w:val="15"/>
        </w:numPr>
        <w:spacing w:lineRule="auto" w:line="240"/>
        <w:jc w:val="both"/>
        <w:rPr/>
      </w:pPr>
      <w:r>
        <w:rPr/>
        <w:t>kwalifikowalność do grupy docelowej na podstawie oświadczeń/zaświadczeń (kandydat będzie informowany (pocztą lub telefonicznie) o spełnieniu bądź nie warunków formalnych oraz o ewentualnej możliwości jednorazowego uzupełnienia w przypadku braków w dokumentach).</w:t>
      </w:r>
    </w:p>
    <w:p>
      <w:pPr>
        <w:pStyle w:val="ListParagraph"/>
        <w:numPr>
          <w:ilvl w:val="0"/>
          <w:numId w:val="14"/>
        </w:numPr>
        <w:spacing w:lineRule="auto" w:line="240"/>
        <w:jc w:val="both"/>
        <w:rPr/>
      </w:pPr>
      <w:r>
        <w:rPr/>
        <w:t>oceny merytorycznej (na podstawie formularza zgłoszeniowego), która będzie odbywać się na podstawie przyznanych punktów:</w:t>
      </w:r>
    </w:p>
    <w:p>
      <w:pPr>
        <w:pStyle w:val="ListParagraph"/>
        <w:numPr>
          <w:ilvl w:val="0"/>
          <w:numId w:val="16"/>
        </w:numPr>
        <w:spacing w:lineRule="auto" w:line="240"/>
        <w:ind w:left="709" w:hanging="283"/>
        <w:jc w:val="both"/>
        <w:rPr/>
      </w:pPr>
      <w:r>
        <w:rPr/>
        <w:t>poziom kwalifikacji (ISCED 1-2 - 5 pkt., ISCED 3 – 3 pkt., ISCED 4 - 1 pkt, ISCED 5,6,7,8 - 0 pkt.);</w:t>
      </w:r>
    </w:p>
    <w:p>
      <w:pPr>
        <w:pStyle w:val="ListParagraph"/>
        <w:numPr>
          <w:ilvl w:val="0"/>
          <w:numId w:val="16"/>
        </w:numPr>
        <w:spacing w:lineRule="auto" w:line="240"/>
        <w:ind w:left="709" w:hanging="283"/>
        <w:jc w:val="both"/>
        <w:rPr/>
      </w:pPr>
      <w:r>
        <w:rPr/>
        <w:t>poziom doświadczenia (bez stażu lub do roku - 5 pkt., do 5 lat - 3 pkt., powyżej 5 lat 1 pkt.);</w:t>
      </w:r>
    </w:p>
    <w:p>
      <w:pPr>
        <w:pStyle w:val="ListParagraph"/>
        <w:numPr>
          <w:ilvl w:val="0"/>
          <w:numId w:val="16"/>
        </w:numPr>
        <w:spacing w:lineRule="auto" w:line="240"/>
        <w:ind w:left="709" w:hanging="283"/>
        <w:jc w:val="both"/>
        <w:rPr/>
      </w:pPr>
      <w:r>
        <w:rPr/>
        <w:t>długotrwałe bezrobocie – 5 pkt;</w:t>
      </w:r>
    </w:p>
    <w:p>
      <w:pPr>
        <w:pStyle w:val="ListParagraph"/>
        <w:numPr>
          <w:ilvl w:val="0"/>
          <w:numId w:val="16"/>
        </w:numPr>
        <w:spacing w:lineRule="auto" w:line="240"/>
        <w:ind w:left="709" w:hanging="283"/>
        <w:jc w:val="both"/>
        <w:rPr/>
      </w:pPr>
      <w:r>
        <w:rPr/>
        <w:t>niepełnosprawność - 17 pkt;</w:t>
      </w:r>
    </w:p>
    <w:p>
      <w:pPr>
        <w:pStyle w:val="ListParagraph"/>
        <w:numPr>
          <w:ilvl w:val="0"/>
          <w:numId w:val="16"/>
        </w:numPr>
        <w:spacing w:lineRule="auto" w:line="240"/>
        <w:ind w:left="709" w:hanging="283"/>
        <w:jc w:val="both"/>
        <w:rPr/>
      </w:pPr>
      <w:r>
        <w:rPr/>
        <w:t>wiek (powyżej 50 roku życia) – 17 pkt.</w:t>
      </w:r>
    </w:p>
    <w:p>
      <w:pPr>
        <w:pStyle w:val="ListParagraph"/>
        <w:numPr>
          <w:ilvl w:val="0"/>
          <w:numId w:val="12"/>
        </w:numPr>
        <w:spacing w:lineRule="auto" w:line="240"/>
        <w:jc w:val="both"/>
        <w:rPr/>
      </w:pPr>
      <w:r>
        <w:rPr/>
        <w:t>Do projektu zostaną zakwalifikowane osoby z największą liczbą punktów. W przypadku spełnienia kryteriów i równej liczby punktów do projektu zakwalifikowane będą osoby znajdujące się w mniej korzystnej sytuacji materialnej.</w:t>
      </w:r>
    </w:p>
    <w:p>
      <w:pPr>
        <w:pStyle w:val="ListParagraph"/>
        <w:numPr>
          <w:ilvl w:val="0"/>
          <w:numId w:val="12"/>
        </w:numPr>
        <w:spacing w:lineRule="auto" w:line="240"/>
        <w:jc w:val="both"/>
        <w:rPr/>
      </w:pPr>
      <w:r>
        <w:rPr/>
        <w:t xml:space="preserve">Osoby niezakwalifikowane do udziału w projekcie z powodu mniejszej liczby punktów zostaną wpisane na listę rezerwową, wykorzystaną w przypadku rezygnacji uczestnika z listy podstawowej, </w:t>
        <w:br/>
        <w:t xml:space="preserve">z zastrzeżeniem iż osoba rezygnująca z udziału w projekcie nie zrealizowała powyżej 20% wsparcia </w:t>
        <w:br/>
        <w:t xml:space="preserve">i pod warunkiem uzupełnienia zaległości (w przypadku zajęć grupowych). </w:t>
      </w:r>
    </w:p>
    <w:p>
      <w:pPr>
        <w:pStyle w:val="ListParagraph"/>
        <w:numPr>
          <w:ilvl w:val="0"/>
          <w:numId w:val="12"/>
        </w:numPr>
        <w:spacing w:lineRule="auto" w:line="240"/>
        <w:jc w:val="both"/>
        <w:rPr/>
      </w:pPr>
      <w:r>
        <w:rPr/>
        <w:t>W przypadku braku listy rezerwowej Beneficjent zastrzega sobie prawo do:</w:t>
      </w:r>
    </w:p>
    <w:p>
      <w:pPr>
        <w:pStyle w:val="ListParagraph"/>
        <w:numPr>
          <w:ilvl w:val="0"/>
          <w:numId w:val="17"/>
        </w:numPr>
        <w:spacing w:lineRule="auto" w:line="240"/>
        <w:jc w:val="both"/>
        <w:rPr/>
      </w:pPr>
      <w:r>
        <w:rPr/>
        <w:t xml:space="preserve">przedłużenia procedury rekrutacji w przypadku nie zgłoszenia się wymaganej liczby kandydatów </w:t>
        <w:br/>
        <w:t>na uczestników projektu;</w:t>
      </w:r>
    </w:p>
    <w:p>
      <w:pPr>
        <w:pStyle w:val="ListParagraph"/>
        <w:numPr>
          <w:ilvl w:val="0"/>
          <w:numId w:val="17"/>
        </w:numPr>
        <w:spacing w:lineRule="auto" w:line="240"/>
        <w:jc w:val="both"/>
        <w:rPr/>
      </w:pPr>
      <w:r>
        <w:rPr/>
        <w:t xml:space="preserve">uruchomienia dodatkowego naboru w przypadku rezygnacji z uczestników projektu z udziału </w:t>
        <w:br/>
        <w:t>w projekcie.</w:t>
      </w:r>
    </w:p>
    <w:p>
      <w:pPr>
        <w:pStyle w:val="ListParagraph"/>
        <w:numPr>
          <w:ilvl w:val="0"/>
          <w:numId w:val="12"/>
        </w:numPr>
        <w:spacing w:lineRule="auto" w:line="240"/>
        <w:jc w:val="both"/>
        <w:rPr/>
      </w:pPr>
      <w:r>
        <w:rPr/>
        <w:t>Beneficjent zastrzega, iż złożenie dokumentów rekrutacyjnych nie jest jednoznaczne z przyjęciem kandydata do udziału w projekcie.</w:t>
      </w:r>
    </w:p>
    <w:p>
      <w:pPr>
        <w:pStyle w:val="ListParagraph"/>
        <w:spacing w:lineRule="auto" w:line="240"/>
        <w:jc w:val="both"/>
        <w:rPr/>
      </w:pPr>
      <w:r>
        <w:rPr/>
      </w:r>
    </w:p>
    <w:p>
      <w:pPr>
        <w:pStyle w:val="Normal"/>
        <w:jc w:val="center"/>
        <w:rPr>
          <w:b/>
          <w:b/>
          <w:sz w:val="24"/>
          <w:szCs w:val="24"/>
        </w:rPr>
      </w:pPr>
      <w:r>
        <w:rPr>
          <w:b/>
          <w:sz w:val="24"/>
          <w:szCs w:val="24"/>
        </w:rPr>
        <w:t>§ 8</w:t>
      </w:r>
    </w:p>
    <w:p>
      <w:pPr>
        <w:pStyle w:val="Normal"/>
        <w:jc w:val="center"/>
        <w:rPr>
          <w:b/>
          <w:b/>
          <w:sz w:val="24"/>
          <w:szCs w:val="24"/>
        </w:rPr>
      </w:pPr>
      <w:r>
        <w:rPr>
          <w:b/>
          <w:sz w:val="24"/>
          <w:szCs w:val="24"/>
        </w:rPr>
        <w:t>Zasady uczestnictwa w projekcie</w:t>
      </w:r>
    </w:p>
    <w:p>
      <w:pPr>
        <w:pStyle w:val="ListParagraph"/>
        <w:numPr>
          <w:ilvl w:val="0"/>
          <w:numId w:val="18"/>
        </w:numPr>
        <w:spacing w:lineRule="auto" w:line="240"/>
        <w:jc w:val="both"/>
        <w:rPr/>
      </w:pPr>
      <w:r>
        <w:rPr/>
        <w:t xml:space="preserve">W dniu przystąpienia do projektu Uczestnicy projektu podpisują zgody na przetwarzanie danych osobowych. </w:t>
      </w:r>
    </w:p>
    <w:p>
      <w:pPr>
        <w:pStyle w:val="ListParagraph"/>
        <w:numPr>
          <w:ilvl w:val="0"/>
          <w:numId w:val="18"/>
        </w:numPr>
        <w:spacing w:lineRule="auto" w:line="240"/>
        <w:jc w:val="both"/>
        <w:rPr/>
      </w:pPr>
      <w:r>
        <w:rPr/>
        <w:t>Podczas zajęć realizowanych w ramach projektu dopuszcza się absencję uczestnika na poziomie nie większym niż 20% godzin szkoleniowych.</w:t>
      </w:r>
    </w:p>
    <w:p>
      <w:pPr>
        <w:pStyle w:val="ListParagraph"/>
        <w:spacing w:lineRule="auto" w:line="240"/>
        <w:jc w:val="both"/>
        <w:rPr/>
      </w:pPr>
      <w:r>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pPr>
      <w:r>
        <w:rPr>
          <w:b/>
          <w:sz w:val="24"/>
          <w:szCs w:val="24"/>
        </w:rPr>
        <w:t>§ 9</w:t>
      </w:r>
    </w:p>
    <w:p>
      <w:pPr>
        <w:pStyle w:val="Normal"/>
        <w:jc w:val="center"/>
        <w:rPr/>
      </w:pPr>
      <w:r>
        <w:rPr>
          <w:b/>
          <w:sz w:val="24"/>
          <w:szCs w:val="24"/>
        </w:rPr>
        <w:t>Uprawnienia i obowiązki uczestników projektu</w:t>
      </w:r>
    </w:p>
    <w:p>
      <w:pPr>
        <w:pStyle w:val="ListParagraph"/>
        <w:numPr>
          <w:ilvl w:val="0"/>
          <w:numId w:val="19"/>
        </w:numPr>
        <w:spacing w:lineRule="auto" w:line="240"/>
        <w:jc w:val="both"/>
        <w:rPr/>
      </w:pPr>
      <w:r>
        <w:rPr/>
        <w:t xml:space="preserve">Każdy uczestnik ma prawo do: </w:t>
      </w:r>
    </w:p>
    <w:p>
      <w:pPr>
        <w:pStyle w:val="ListParagraph"/>
        <w:numPr>
          <w:ilvl w:val="0"/>
          <w:numId w:val="20"/>
        </w:numPr>
        <w:spacing w:lineRule="auto" w:line="240"/>
        <w:jc w:val="both"/>
        <w:rPr/>
      </w:pPr>
      <w:r>
        <w:rPr/>
        <w:t>pełnej informacji dotyczącej swojego uczestnictwa w Projekcie, w tym w szczególności o terminach, miejscach i zasadach uczestnictwa w formach wsparcia przewidzianych w Projekcie;</w:t>
      </w:r>
    </w:p>
    <w:p>
      <w:pPr>
        <w:pStyle w:val="ListParagraph"/>
        <w:numPr>
          <w:ilvl w:val="0"/>
          <w:numId w:val="20"/>
        </w:numPr>
        <w:spacing w:lineRule="auto" w:line="240"/>
        <w:jc w:val="both"/>
        <w:rPr/>
      </w:pPr>
      <w:r>
        <w:rPr/>
        <w:t xml:space="preserve">nieodpłatnego udziału w formach wsparcia przewidzianych w ramach Projektu; </w:t>
      </w:r>
    </w:p>
    <w:p>
      <w:pPr>
        <w:pStyle w:val="ListParagraph"/>
        <w:numPr>
          <w:ilvl w:val="0"/>
          <w:numId w:val="20"/>
        </w:numPr>
        <w:spacing w:lineRule="auto" w:line="240"/>
        <w:jc w:val="both"/>
        <w:rPr/>
      </w:pPr>
      <w:r>
        <w:rPr/>
        <w:t xml:space="preserve">otrzymania zaświadczenia o ukończeniu szkoleń w ramach Projektu; </w:t>
      </w:r>
    </w:p>
    <w:p>
      <w:pPr>
        <w:pStyle w:val="ListParagraph"/>
        <w:numPr>
          <w:ilvl w:val="0"/>
          <w:numId w:val="20"/>
        </w:numPr>
        <w:spacing w:lineRule="auto" w:line="240"/>
        <w:jc w:val="both"/>
        <w:rPr/>
      </w:pPr>
      <w:r>
        <w:rPr/>
        <w:t>otrzymania certyfikatów/zaświadczeń potwierdzających uzyskanie kwalifikacji (pod warunkiem pozytywnego zdania egzaminu kończącego szkolenie zawodowego.</w:t>
      </w:r>
    </w:p>
    <w:p>
      <w:pPr>
        <w:pStyle w:val="ListParagraph"/>
        <w:numPr>
          <w:ilvl w:val="0"/>
          <w:numId w:val="19"/>
        </w:numPr>
        <w:spacing w:lineRule="auto" w:line="240"/>
        <w:jc w:val="both"/>
        <w:rPr/>
      </w:pPr>
      <w:r>
        <w:rPr/>
        <w:t>Uczestnicy projektu mają prawo do otrzymania stypendium szkoleniowego/ stażowego.</w:t>
      </w:r>
    </w:p>
    <w:p>
      <w:pPr>
        <w:pStyle w:val="ListParagraph"/>
        <w:numPr>
          <w:ilvl w:val="0"/>
          <w:numId w:val="19"/>
        </w:numPr>
        <w:spacing w:lineRule="auto" w:line="240"/>
        <w:jc w:val="both"/>
        <w:rPr/>
      </w:pPr>
      <w:r>
        <w:rPr>
          <w:u w:val="single"/>
        </w:rPr>
        <w:t xml:space="preserve">Uczestnicy projektu mogą ubiegać się o zwrot kosztów dojazdu z miejsca zamieszkania do miejsc odbywania  </w:t>
      </w:r>
      <w:r>
        <w:rPr>
          <w:u w:val="single"/>
        </w:rPr>
        <w:t xml:space="preserve">stażu, </w:t>
      </w:r>
      <w:r>
        <w:rPr>
          <w:u w:val="single"/>
        </w:rPr>
        <w:t xml:space="preserve"> w przypadku gdy form</w:t>
      </w:r>
      <w:r>
        <w:rPr>
          <w:u w:val="single"/>
        </w:rPr>
        <w:t>a</w:t>
      </w:r>
      <w:r>
        <w:rPr>
          <w:u w:val="single"/>
        </w:rPr>
        <w:t xml:space="preserve"> t</w:t>
      </w:r>
      <w:r>
        <w:rPr>
          <w:u w:val="single"/>
        </w:rPr>
        <w:t>a</w:t>
      </w:r>
      <w:r>
        <w:rPr>
          <w:u w:val="single"/>
        </w:rPr>
        <w:t xml:space="preserve"> odbywa się w miejscowości inn</w:t>
      </w:r>
      <w:r>
        <w:rPr>
          <w:u w:val="single"/>
        </w:rPr>
        <w:t>ym</w:t>
      </w:r>
      <w:r>
        <w:rPr>
          <w:u w:val="single"/>
        </w:rPr>
        <w:t xml:space="preserve"> niż miejsce zamieszkania uczestnika.</w:t>
      </w:r>
      <w:r>
        <w:rPr/>
        <w:t xml:space="preserve"> Środki na ten cel będą dostępne dla uczestników projektu do wyczerpania limitu przeznaczonego na ten cel w budżecie projektu.</w:t>
      </w:r>
    </w:p>
    <w:p>
      <w:pPr>
        <w:pStyle w:val="ListParagraph"/>
        <w:numPr>
          <w:ilvl w:val="0"/>
          <w:numId w:val="19"/>
        </w:numPr>
        <w:spacing w:lineRule="auto" w:line="240"/>
        <w:jc w:val="both"/>
        <w:rPr/>
      </w:pPr>
      <w:r>
        <w:rPr/>
        <w:t>Uczestnicy projektu mogą ubiegać się o zwrot kosztów opieki nad dzieckiem/osobą zależną.</w:t>
      </w:r>
    </w:p>
    <w:p>
      <w:pPr>
        <w:pStyle w:val="ListParagraph"/>
        <w:numPr>
          <w:ilvl w:val="0"/>
          <w:numId w:val="19"/>
        </w:numPr>
        <w:spacing w:lineRule="auto" w:line="240"/>
        <w:jc w:val="both"/>
        <w:rPr/>
      </w:pPr>
      <w:r>
        <w:rPr/>
        <w:t>Każdy uczestnik zobowiązany jest do:</w:t>
      </w:r>
    </w:p>
    <w:p>
      <w:pPr>
        <w:pStyle w:val="ListParagraph"/>
        <w:numPr>
          <w:ilvl w:val="0"/>
          <w:numId w:val="21"/>
        </w:numPr>
        <w:spacing w:lineRule="auto" w:line="240"/>
        <w:ind w:left="709" w:hanging="283"/>
        <w:jc w:val="both"/>
        <w:rPr/>
      </w:pPr>
      <w:r>
        <w:rPr/>
        <w:t>dołożenia wszelkich starań w celu prawidłowej realizacji całości ścieżki wsparcia oferowanego w ramach Projektu oraz wynikającego z opracowanego dla Uczestnika projektu Indywidualnego Planu Działania;</w:t>
      </w:r>
    </w:p>
    <w:p>
      <w:pPr>
        <w:pStyle w:val="ListParagraph"/>
        <w:numPr>
          <w:ilvl w:val="0"/>
          <w:numId w:val="21"/>
        </w:numPr>
        <w:spacing w:lineRule="auto" w:line="240"/>
        <w:ind w:left="709" w:hanging="283"/>
        <w:jc w:val="both"/>
        <w:rPr/>
      </w:pPr>
      <w:r>
        <w:rPr/>
        <w:t xml:space="preserve">regularnego uczestnictwa w zaplanowanych formach wsparcia w ramach Projektu zgodnie </w:t>
        <w:br/>
        <w:t>z harmonogramem zajęć oraz do obecności na przynajmniej 80% godzin zajęć;</w:t>
      </w:r>
    </w:p>
    <w:p>
      <w:pPr>
        <w:pStyle w:val="ListParagraph"/>
        <w:numPr>
          <w:ilvl w:val="0"/>
          <w:numId w:val="21"/>
        </w:numPr>
        <w:spacing w:lineRule="auto" w:line="240"/>
        <w:ind w:left="709" w:hanging="283"/>
        <w:jc w:val="both"/>
        <w:rPr/>
      </w:pPr>
      <w:r>
        <w:rPr/>
        <w:t>samodzielnego zrealizowania materiału będącego przedmiotem 20% godzin opuszczonych zajęć;</w:t>
      </w:r>
    </w:p>
    <w:p>
      <w:pPr>
        <w:pStyle w:val="ListParagraph"/>
        <w:numPr>
          <w:ilvl w:val="0"/>
          <w:numId w:val="21"/>
        </w:numPr>
        <w:spacing w:lineRule="auto" w:line="240"/>
        <w:ind w:left="709" w:hanging="283"/>
        <w:jc w:val="both"/>
        <w:rPr/>
      </w:pPr>
      <w:r>
        <w:rPr/>
        <w:t>potwierdzania swojego uczestnictwa w zaplanowanych formach wsparcia w ramach Projektu, własnoręcznym podpisem na liście obecności;</w:t>
      </w:r>
    </w:p>
    <w:p>
      <w:pPr>
        <w:pStyle w:val="ListParagraph"/>
        <w:numPr>
          <w:ilvl w:val="0"/>
          <w:numId w:val="21"/>
        </w:numPr>
        <w:spacing w:lineRule="auto" w:line="240"/>
        <w:ind w:left="709" w:hanging="283"/>
        <w:jc w:val="both"/>
        <w:rPr/>
      </w:pPr>
      <w:r>
        <w:rPr/>
        <w:t>przystąpienia do egzaminu kończącego szkolenie zawodowe, umożliwiającego uzyskanie certyfikatu/zaświadczenia potwierdzającego uzyskane kwalifikacje (w ramach Projektu finansowane jest jedno podejście do egzaminu);</w:t>
      </w:r>
    </w:p>
    <w:p>
      <w:pPr>
        <w:pStyle w:val="ListParagraph"/>
        <w:numPr>
          <w:ilvl w:val="0"/>
          <w:numId w:val="21"/>
        </w:numPr>
        <w:spacing w:lineRule="auto" w:line="240"/>
        <w:ind w:left="709" w:hanging="283"/>
        <w:jc w:val="both"/>
        <w:rPr/>
      </w:pPr>
      <w:r>
        <w:rPr/>
        <w:t xml:space="preserve">wypełniania wszystkich wymaganych ankiet ewaluacyjnych i monitoringowych związanych </w:t>
        <w:br/>
        <w:t>z realizowanym Projektem;</w:t>
      </w:r>
    </w:p>
    <w:p>
      <w:pPr>
        <w:pStyle w:val="ListParagraph"/>
        <w:numPr>
          <w:ilvl w:val="0"/>
          <w:numId w:val="21"/>
        </w:numPr>
        <w:spacing w:lineRule="auto" w:line="240"/>
        <w:ind w:left="709" w:hanging="283"/>
        <w:jc w:val="both"/>
        <w:rPr/>
      </w:pPr>
      <w:r>
        <w:rPr/>
        <w:t xml:space="preserve">bieżącego informowania Beneficjenta o wszystkich zdarzeniach mogących zakłócić jego dalszy udział </w:t>
        <w:br/>
        <w:t>w Projekcie;</w:t>
      </w:r>
    </w:p>
    <w:p>
      <w:pPr>
        <w:pStyle w:val="ListParagraph"/>
        <w:numPr>
          <w:ilvl w:val="0"/>
          <w:numId w:val="21"/>
        </w:numPr>
        <w:spacing w:lineRule="auto" w:line="240"/>
        <w:ind w:left="709" w:hanging="283"/>
        <w:jc w:val="both"/>
        <w:rPr/>
      </w:pPr>
      <w:r>
        <w:rPr/>
        <w:t xml:space="preserve">natychmiastowego informowania Beneficjenta o zmianie danych osobowych uwzględnionych </w:t>
        <w:br/>
        <w:t>w Formularzu rekrutacyjnym;</w:t>
      </w:r>
    </w:p>
    <w:p>
      <w:pPr>
        <w:pStyle w:val="ListParagraph"/>
        <w:numPr>
          <w:ilvl w:val="0"/>
          <w:numId w:val="21"/>
        </w:numPr>
        <w:spacing w:lineRule="auto" w:line="240"/>
        <w:ind w:left="709" w:hanging="283"/>
        <w:jc w:val="both"/>
        <w:rPr/>
      </w:pPr>
      <w:r>
        <w:rPr/>
        <w:t>przekazania w terminie 4 tygodni po zakończeniu udziału w projekcie danych dot. statusu na rynku pracy oraz informacji nt. udziału w kształceniu lub szkoleniu oraz uzyskaniu kwalifikacji lub kompetencji;</w:t>
      </w:r>
    </w:p>
    <w:p>
      <w:pPr>
        <w:pStyle w:val="ListParagraph"/>
        <w:numPr>
          <w:ilvl w:val="0"/>
          <w:numId w:val="21"/>
        </w:numPr>
        <w:spacing w:lineRule="auto" w:line="240"/>
        <w:ind w:left="709" w:hanging="283"/>
        <w:jc w:val="both"/>
        <w:rPr/>
      </w:pPr>
      <w:r>
        <w:rPr/>
        <w:t xml:space="preserve">przekazania w okresie 3 miesięcy (co najmniej 90 dni kalendarzowych) następujących po dniu, w którym zakończył udział w Projekcie, danych oraz dokumentów potwierdzających podjęcie pracy. </w:t>
      </w:r>
    </w:p>
    <w:p>
      <w:pPr>
        <w:pStyle w:val="Normal"/>
        <w:spacing w:lineRule="auto" w:line="240"/>
        <w:jc w:val="both"/>
        <w:rPr>
          <w:sz w:val="20"/>
          <w:szCs w:val="20"/>
        </w:rPr>
      </w:pPr>
      <w:r>
        <w:rPr>
          <w:sz w:val="20"/>
          <w:szCs w:val="20"/>
        </w:rPr>
        <w:t xml:space="preserve">Dokumentami potwierdzającymi zatrudnienie są: kopia umowy o pracę/zlecenie/dzieło lub zaświadczenie </w:t>
        <w:br/>
        <w:t xml:space="preserve">od pracodawcy potwierdzające zatrudnienie, a w przypadku rozpoczęcia działalności gospodarczej: dowód opłacania należnych składek na ubezpieczenia społeczne lub zaświadczenie wydane przez upoważniony organ – np. Zakład Ubezpieczeń Społecznych, Urząd Skarbowy, urząd miasta lub gminy. Dostarczenie dokumentu potwierdzającego sam fakt założenia działalności gospodarczej jest niewystarczające. </w:t>
      </w:r>
    </w:p>
    <w:p>
      <w:pPr>
        <w:pStyle w:val="ListParagraph"/>
        <w:numPr>
          <w:ilvl w:val="0"/>
          <w:numId w:val="21"/>
        </w:numPr>
        <w:spacing w:lineRule="auto" w:line="240"/>
        <w:ind w:left="709" w:hanging="283"/>
        <w:jc w:val="both"/>
        <w:rPr/>
      </w:pPr>
      <w:r>
        <w:rPr/>
        <w:t xml:space="preserve">dostarczenia dokumentów w trybie wskazanym przez Beneficjenta, w przypadku ich zmiany </w:t>
        <w:br/>
        <w:t>lub pojawienia się obowiązku dostarczenia nowych, wcześniej nie wymaganych.</w:t>
      </w:r>
    </w:p>
    <w:p>
      <w:pPr>
        <w:pStyle w:val="Normal"/>
        <w:jc w:val="both"/>
        <w:rPr>
          <w:sz w:val="20"/>
          <w:szCs w:val="20"/>
        </w:rPr>
      </w:pPr>
      <w:r>
        <w:rPr>
          <w:sz w:val="20"/>
          <w:szCs w:val="20"/>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 10</w:t>
      </w:r>
    </w:p>
    <w:p>
      <w:pPr>
        <w:pStyle w:val="Normal"/>
        <w:jc w:val="center"/>
        <w:rPr>
          <w:b/>
          <w:b/>
        </w:rPr>
      </w:pPr>
      <w:r>
        <w:rPr>
          <w:b/>
        </w:rPr>
        <w:t>Zasady rezygnacji z udziału w projekcie</w:t>
      </w:r>
    </w:p>
    <w:p>
      <w:pPr>
        <w:pStyle w:val="ListParagraph"/>
        <w:numPr>
          <w:ilvl w:val="0"/>
          <w:numId w:val="22"/>
        </w:numPr>
        <w:spacing w:lineRule="auto" w:line="240"/>
        <w:ind w:left="426" w:hanging="360"/>
        <w:jc w:val="both"/>
        <w:rPr/>
      </w:pPr>
      <w:r>
        <w:rPr/>
        <w:t xml:space="preserve">W przypadku rezygnacji z udziału w projekcie, Uczestnik Projektu zobowiązuje się niezwłocznie dostarczyć do Organizatora Projektu pisemną informację o tym fakcie (osobiście, faxem, mailem bądź </w:t>
        <w:br/>
        <w:t>za pośrednictwem poczty).</w:t>
      </w:r>
    </w:p>
    <w:p>
      <w:pPr>
        <w:pStyle w:val="ListParagraph"/>
        <w:numPr>
          <w:ilvl w:val="0"/>
          <w:numId w:val="22"/>
        </w:numPr>
        <w:spacing w:lineRule="auto" w:line="240"/>
        <w:ind w:left="426" w:hanging="360"/>
        <w:jc w:val="both"/>
        <w:rPr/>
      </w:pPr>
      <w:r>
        <w:rPr/>
        <w:t>Rezygnacja z udziału w projekcie możliwa jest tylko w uzasadnionych przypadkach i następuje poprzez złożenie pisemnego oświadczenia wraz z podaniem przyczyny.</w:t>
      </w:r>
    </w:p>
    <w:p>
      <w:pPr>
        <w:pStyle w:val="ListParagraph"/>
        <w:numPr>
          <w:ilvl w:val="0"/>
          <w:numId w:val="22"/>
        </w:numPr>
        <w:spacing w:lineRule="auto" w:line="240"/>
        <w:ind w:left="426" w:hanging="360"/>
        <w:jc w:val="both"/>
        <w:rPr/>
      </w:pPr>
      <w:r>
        <w:rPr/>
        <w:t xml:space="preserve">Organizator Projektu zastrzega sobie prawo do wykreślenia Uczestnika Projektu z listy uczestników projektu w przypadku naruszenia przez niego niniejszego regulaminu oraz zasad współżycia społecznego, </w:t>
        <w:br/>
        <w:t>w szczególności w przypadku naruszenia nietykalności cielesnej innego słuchacza, trenera lub pracownika Organizatora, udowodnionego aktu kradzieży lub szczególnego wandalizmu lub naruszenia zasad Kodeksu Pracy dla osób które podjęły zatrudnienie.</w:t>
      </w:r>
    </w:p>
    <w:p>
      <w:pPr>
        <w:pStyle w:val="ListParagraph"/>
        <w:numPr>
          <w:ilvl w:val="0"/>
          <w:numId w:val="22"/>
        </w:numPr>
        <w:spacing w:lineRule="auto" w:line="240"/>
        <w:ind w:left="426" w:hanging="360"/>
        <w:jc w:val="both"/>
        <w:rPr/>
      </w:pPr>
      <w:r>
        <w:rPr/>
        <w:t>Jeżeli Uczestnik Projektu z własnej winy nie ukończy szkoleń w ramach projektu Organizator Projektu może zobowiązać Uczestnika Projektu do zwrotu kosztów szkolenia proporcjonalnie do odbytego wsparcia, chyba że nieukończenie szkolenia nastąpiło z przyczyn niezawinionych przez Uczestnika Projektu.</w:t>
      </w:r>
    </w:p>
    <w:p>
      <w:pPr>
        <w:pStyle w:val="ListParagraph"/>
        <w:numPr>
          <w:ilvl w:val="0"/>
          <w:numId w:val="22"/>
        </w:numPr>
        <w:spacing w:lineRule="auto" w:line="240"/>
        <w:ind w:left="426" w:hanging="360"/>
        <w:jc w:val="both"/>
        <w:rPr/>
      </w:pPr>
      <w:r>
        <w:rPr/>
        <w:t>Organizator Projektu może odstąpić od obciążenia Uczestnika Projektu kosztami wyłącznie na podstawie pisemnego wniosku Uczestnika Projektu wraz z odpowiednim umotywowaniem.</w:t>
      </w:r>
    </w:p>
    <w:p>
      <w:pPr>
        <w:pStyle w:val="Normal"/>
        <w:spacing w:lineRule="auto" w:line="240"/>
        <w:jc w:val="both"/>
        <w:rPr/>
      </w:pPr>
      <w:r>
        <w:rPr/>
      </w:r>
    </w:p>
    <w:p>
      <w:pPr>
        <w:pStyle w:val="Normal"/>
        <w:jc w:val="center"/>
        <w:rPr>
          <w:b/>
          <w:b/>
          <w:sz w:val="24"/>
          <w:szCs w:val="24"/>
        </w:rPr>
      </w:pPr>
      <w:r>
        <w:rPr>
          <w:b/>
          <w:sz w:val="24"/>
          <w:szCs w:val="24"/>
        </w:rPr>
        <w:t>§ 11</w:t>
      </w:r>
    </w:p>
    <w:p>
      <w:pPr>
        <w:pStyle w:val="Normal"/>
        <w:jc w:val="center"/>
        <w:rPr>
          <w:b/>
          <w:b/>
          <w:sz w:val="24"/>
          <w:szCs w:val="24"/>
        </w:rPr>
      </w:pPr>
      <w:r>
        <w:rPr>
          <w:b/>
          <w:sz w:val="24"/>
          <w:szCs w:val="24"/>
        </w:rPr>
        <w:t>Zasady monitoringu Uczestniczek/Uczestników Projektu</w:t>
      </w:r>
    </w:p>
    <w:p>
      <w:pPr>
        <w:pStyle w:val="ListParagraph"/>
        <w:numPr>
          <w:ilvl w:val="0"/>
          <w:numId w:val="23"/>
        </w:numPr>
        <w:spacing w:lineRule="auto" w:line="240"/>
        <w:ind w:left="426" w:hanging="360"/>
        <w:jc w:val="both"/>
        <w:rPr/>
      </w:pPr>
      <w:r>
        <w:rPr/>
        <w:t>Uczestnik/-czka Projektu zobowiązuje się do wypełniania list obecności, potwierdzeń odbioru materiałów szkoleniowych oraz ankiet oceniających zajęcia prowadzone w ramach Projektu.</w:t>
      </w:r>
    </w:p>
    <w:p>
      <w:pPr>
        <w:pStyle w:val="ListParagraph"/>
        <w:numPr>
          <w:ilvl w:val="0"/>
          <w:numId w:val="23"/>
        </w:numPr>
        <w:spacing w:lineRule="auto" w:line="240"/>
        <w:ind w:left="426" w:hanging="360"/>
        <w:jc w:val="both"/>
        <w:rPr/>
      </w:pPr>
      <w:r>
        <w:rPr/>
        <w:t>Uczestnik/-czka Projektu zobowiązuje się podać dane niezbędne Projektodawcy do wypełnienia kwestionariusza osobowego.</w:t>
      </w:r>
    </w:p>
    <w:p>
      <w:pPr>
        <w:pStyle w:val="ListParagraph"/>
        <w:numPr>
          <w:ilvl w:val="0"/>
          <w:numId w:val="23"/>
        </w:numPr>
        <w:spacing w:lineRule="auto" w:line="240"/>
        <w:ind w:left="426" w:hanging="360"/>
        <w:jc w:val="both"/>
        <w:rPr/>
      </w:pPr>
      <w:r>
        <w:rPr/>
        <w:t xml:space="preserve">Uczestnik/-czka Projektu akceptuje zasady ewaluacji Projektu, co poświadcza osobiście podpisem </w:t>
        <w:br/>
        <w:t xml:space="preserve">na formularzu rekrutacyjnym. </w:t>
      </w:r>
    </w:p>
    <w:p>
      <w:pPr>
        <w:pStyle w:val="ListParagraph"/>
        <w:spacing w:lineRule="auto" w:line="240"/>
        <w:ind w:left="426" w:hanging="0"/>
        <w:jc w:val="both"/>
        <w:rPr/>
      </w:pPr>
      <w:r>
        <w:rPr/>
      </w:r>
    </w:p>
    <w:p>
      <w:pPr>
        <w:pStyle w:val="Normal"/>
        <w:tabs>
          <w:tab w:val="center" w:pos="4536" w:leader="none"/>
          <w:tab w:val="left" w:pos="5220" w:leader="none"/>
        </w:tabs>
        <w:rPr>
          <w:b/>
          <w:b/>
          <w:sz w:val="24"/>
          <w:szCs w:val="24"/>
        </w:rPr>
      </w:pPr>
      <w:r>
        <w:rPr>
          <w:b/>
          <w:sz w:val="24"/>
          <w:szCs w:val="24"/>
        </w:rPr>
        <w:tab/>
        <w:t>§ 12</w:t>
      </w:r>
    </w:p>
    <w:p>
      <w:pPr>
        <w:pStyle w:val="Normal"/>
        <w:jc w:val="center"/>
        <w:rPr>
          <w:b/>
          <w:b/>
          <w:sz w:val="24"/>
          <w:szCs w:val="24"/>
        </w:rPr>
      </w:pPr>
      <w:r>
        <w:rPr>
          <w:b/>
          <w:sz w:val="24"/>
          <w:szCs w:val="24"/>
        </w:rPr>
        <w:t>Postanowienia końcowe</w:t>
      </w:r>
    </w:p>
    <w:p>
      <w:pPr>
        <w:pStyle w:val="ListParagraph"/>
        <w:numPr>
          <w:ilvl w:val="0"/>
          <w:numId w:val="24"/>
        </w:numPr>
        <w:spacing w:lineRule="auto" w:line="240"/>
        <w:ind w:left="426" w:hanging="360"/>
        <w:jc w:val="both"/>
        <w:rPr/>
      </w:pPr>
      <w:r>
        <w:rPr/>
        <w:t>W sporach interpretacyjnych niniejszego Regulaminu oraz w sprawach nie ujętych w Regulaminie, ostateczną decyzję podejmuje Realizator projektu mając na uwadze obowiązujące przepisy prawa.</w:t>
      </w:r>
    </w:p>
    <w:p>
      <w:pPr>
        <w:pStyle w:val="ListParagraph"/>
        <w:numPr>
          <w:ilvl w:val="0"/>
          <w:numId w:val="24"/>
        </w:numPr>
        <w:spacing w:lineRule="auto" w:line="240"/>
        <w:ind w:left="426" w:hanging="360"/>
        <w:jc w:val="both"/>
        <w:rPr/>
      </w:pPr>
      <w:bookmarkStart w:id="0" w:name="_GoBack"/>
      <w:bookmarkEnd w:id="0"/>
      <w:r>
        <w:rPr/>
        <w:t>Realizator projektu zastrzega sobie prawo wprowadzania zmian do niniejszego Regulaminu. Aktualna treść Regulaminu dostępna jest w Biurze oraz na stronie www.phenomen.pl</w:t>
      </w:r>
    </w:p>
    <w:p>
      <w:pPr>
        <w:pStyle w:val="ListParagraph"/>
        <w:numPr>
          <w:ilvl w:val="0"/>
          <w:numId w:val="24"/>
        </w:numPr>
        <w:spacing w:lineRule="auto" w:line="240"/>
        <w:ind w:left="426" w:hanging="360"/>
        <w:jc w:val="both"/>
        <w:rPr/>
      </w:pPr>
      <w:r>
        <w:rPr/>
        <w:t>Realizator projektu nie ponosi odpowiedzialności za zmiany w dokumentach programowych i wytycznych dotyczących Działania 5.2.1 RPO WP.</w:t>
      </w:r>
    </w:p>
    <w:p>
      <w:pPr>
        <w:pStyle w:val="ListParagraph"/>
        <w:numPr>
          <w:ilvl w:val="0"/>
          <w:numId w:val="24"/>
        </w:numPr>
        <w:spacing w:lineRule="auto" w:line="240"/>
        <w:ind w:left="426" w:hanging="360"/>
        <w:jc w:val="both"/>
        <w:rPr/>
      </w:pPr>
      <w:r>
        <w:rPr/>
        <w:t>Regulamin wchodzi w życie z dniem podpisania.</w:t>
      </w:r>
    </w:p>
    <w:p>
      <w:pPr>
        <w:pStyle w:val="Normal"/>
        <w:spacing w:before="0" w:after="200"/>
        <w:jc w:val="both"/>
        <w:rPr/>
      </w:pPr>
      <w:r>
        <w:rPr/>
      </w:r>
    </w:p>
    <w:sectPr>
      <w:headerReference w:type="default" r:id="rId2"/>
      <w:footerReference w:type="default" r:id="rId3"/>
      <w:footnotePr>
        <w:numFmt w:val="decimal"/>
      </w:footnotePr>
      <w:type w:val="nextPage"/>
      <w:pgSz w:w="11906" w:h="16838"/>
      <w:pgMar w:left="1417" w:right="1417" w:header="708" w:top="1417" w:footer="113"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drawing>
        <wp:anchor behindDoc="1" distT="0" distB="0" distL="114300" distR="114300" simplePos="0" locked="0" layoutInCell="1" allowOverlap="1" relativeHeight="8">
          <wp:simplePos x="0" y="0"/>
          <wp:positionH relativeFrom="page">
            <wp:align>center</wp:align>
          </wp:positionH>
          <wp:positionV relativeFrom="page">
            <wp:posOffset>9973310</wp:posOffset>
          </wp:positionV>
          <wp:extent cx="7023735" cy="194310"/>
          <wp:effectExtent l="0" t="0" r="0" b="0"/>
          <wp:wrapNone/>
          <wp:docPr id="2" name="Obraz 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istownik-mono-Pomorskie-FE-UMWP-UE-EFSI-RPO2014-2020-2015-stop"/>
                  <pic:cNvPicPr>
                    <a:picLocks noChangeAspect="1" noChangeArrowheads="1"/>
                  </pic:cNvPicPr>
                </pic:nvPicPr>
                <pic:blipFill>
                  <a:blip r:embed="rId1"/>
                  <a:stretch>
                    <a:fillRect/>
                  </a:stretch>
                </pic:blipFill>
                <pic:spPr bwMode="auto">
                  <a:xfrm>
                    <a:off x="0" y="0"/>
                    <a:ext cx="7023735" cy="194310"/>
                  </a:xfrm>
                  <a:prstGeom prst="rect">
                    <a:avLst/>
                  </a:prstGeom>
                  <a:noFill/>
                  <a:ln w="9525">
                    <a:noFill/>
                    <a:miter lim="800000"/>
                    <a:headEnd/>
                    <a:tailEnd/>
                  </a:ln>
                </pic:spPr>
              </pic:pic>
            </a:graphicData>
          </a:graphic>
        </wp:anchor>
      </w:drawing>
    </w:r>
  </w:p>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0" w:after="0"/>
        <w:ind w:left="142" w:right="20" w:hanging="0"/>
        <w:jc w:val="both"/>
        <w:rPr>
          <w:rFonts w:eastAsia="Arial" w:cs="Calibri" w:cstheme="minorHAnsi"/>
          <w:sz w:val="18"/>
        </w:rPr>
      </w:pPr>
      <w:r>
        <w:rPr>
          <w:rStyle w:val="Footnotereference"/>
          <w:sz w:val="18"/>
        </w:rPr>
        <w:footnoteRef/>
        <w:tab/>
      </w:r>
      <w:r>
        <w:rPr>
          <w:sz w:val="18"/>
        </w:rPr>
        <w:t xml:space="preserve"> </w:t>
      </w:r>
      <w:r>
        <w:rPr>
          <w:rFonts w:eastAsia="Arial" w:cs="Calibri" w:cstheme="minorHAnsi"/>
          <w:sz w:val="18"/>
        </w:rPr>
        <w:t>Osoby pracujące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 – prowadzące działalność gospodarczą, gospodarstw o rolne lub praktykę zawodową - są również uznawane za pracujących, o ile spełniony jest jeden z poniższych warunków:osoba pracuje w swojej działalności, praktyce zawodowej lub gospodarstwie rolnym w celu uzyskania dochodu, nawet jeżeli przedsiębiorstw o nie osiąga zysków;</w:t>
        <w:tab/>
        <w:t>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w:t>
        <w:tab/>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 nosi bezpośredni w kład w działalność gospodarczą, gospodarstw o rolne lub praktykę zawodową będącą w posiadaniu lub prowadzoną przez spokrewnionego członka tego samego gospodarstwa domowego.</w:t>
      </w:r>
      <w:r>
        <w:rPr>
          <w:rFonts w:eastAsia="Arial" w:cs="Calibri" w:cstheme="minorHAnsi"/>
          <w:sz w:val="18"/>
          <w:u w:val="single"/>
        </w:rPr>
        <w:tab/>
        <w:t>Bezpłatnie pomagający osobie prowadzącej działalność członek rodziny</w:t>
      </w:r>
      <w:r>
        <w:rPr>
          <w:rFonts w:eastAsia="Arial" w:cs="Calibri" w:cstheme="minorHAnsi"/>
          <w:sz w:val="18"/>
        </w:rPr>
        <w:t xml:space="preserve"> uznawany jest za „osobę prowadzącą działalność na własny rachunek”.</w:t>
      </w:r>
      <w:r>
        <w:rPr>
          <w:rFonts w:eastAsia="Arial" w:cs="Calibri" w:cstheme="minorHAnsi"/>
          <w:sz w:val="18"/>
          <w:u w:val="single"/>
        </w:rPr>
        <w:tab/>
        <w:t>Żołnierze poborowi</w:t>
      </w:r>
      <w:r>
        <w:rPr>
          <w:rFonts w:eastAsia="Arial" w:cs="Calibri" w:cstheme="minorHAnsi"/>
          <w:sz w:val="18"/>
        </w:rPr>
        <w:t>, którzy wykonywali określoną pracę, za którą otrzymywali wynagrodzenie lub innego rodzaju zysk w czasie tygodnia odniesienia nie są uznawani za „osoby pracujące" – o ile obowiązkowy pobór i powołanie do wojska dotyczy państwa członkowskiego.</w:t>
      </w:r>
      <w:r>
        <w:rPr>
          <w:rFonts w:eastAsia="Arial" w:cs="Calibri" w:cstheme="minorHAnsi"/>
          <w:sz w:val="18"/>
          <w:u w:val="single"/>
        </w:rPr>
        <w:tab/>
        <w:t>Osoby przebywające na urlopie macierzyńskim/rodzicielskim</w:t>
      </w:r>
      <w:r>
        <w:rPr>
          <w:rFonts w:eastAsia="Arial" w:cs="Calibri" w:cstheme="minorHAnsi"/>
          <w:sz w:val="18"/>
        </w:rPr>
        <w:t xml:space="preserve"> (rozumianym jako świadczenie pracownicze, gdzie pracodawca zapewnia płatny lub bezpłatny czas wolny od pracy do momentu porodu i okres ten obejmuje późniejszą krótkoterminową opiekę nad dzieckiem) są uznawane za „osoby pracujące”.</w:t>
      </w:r>
    </w:p>
    <w:p>
      <w:pPr>
        <w:pStyle w:val="Normal"/>
        <w:spacing w:before="0" w:after="0"/>
        <w:ind w:left="142" w:right="20" w:hanging="0"/>
        <w:jc w:val="both"/>
        <w:rPr>
          <w:rFonts w:eastAsia="Arial" w:cs="Calibri" w:cstheme="minorHAnsi"/>
          <w:sz w:val="18"/>
        </w:rPr>
      </w:pPr>
      <w:r>
        <w:rPr>
          <w:rFonts w:eastAsia="Arial" w:cs="Calibri" w:cstheme="minorHAnsi"/>
          <w:sz w:val="18"/>
        </w:rPr>
        <w:tab/>
        <w:t>„Zatrudnienie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 kiedy wszystkie koszty pracy są pokrywane przez określony czas ze środków publicznych.</w:t>
      </w:r>
    </w:p>
    <w:p>
      <w:pPr>
        <w:pStyle w:val="Przypisdolny"/>
        <w:rPr/>
      </w:pPr>
      <w:r>
        <w:rPr>
          <w:rStyle w:val="Footnotereference"/>
          <w:rFonts w:eastAsia="Arial" w:cs="Calibri" w:cstheme="minorHAnsi"/>
        </w:rPr>
        <w:tab/>
      </w:r>
    </w:p>
    <w:p>
      <w:pPr>
        <w:pStyle w:val="Przypisdolny"/>
        <w:spacing w:before="0" w:after="200"/>
        <w:rPr/>
      </w:pPr>
      <w:r>
        <w:rPr>
          <w:rStyle w:val="Zakotwiczenieprzypisudolnego"/>
          <w:rFonts w:eastAsia="Arial" w:cs="Calibri" w:cstheme="minorHAnsi"/>
        </w:rPr>
        <w:tab/>
      </w:r>
    </w:p>
    <w:p>
      <w:pPr>
        <w:pStyle w:val="Przypisdolny"/>
        <w:spacing w:before="0" w:after="200"/>
        <w:rPr/>
      </w:pPr>
      <w:r>
        <w:rPr>
          <w:rStyle w:val="Zakotwiczenieprzypisudolnego"/>
          <w:rFonts w:eastAsia="Arial" w:cs="Calibri" w:cstheme="minorHAnsi"/>
        </w:rPr>
        <w:tab/>
      </w:r>
    </w:p>
    <w:p>
      <w:pPr>
        <w:pStyle w:val="Przypisdolny"/>
        <w:spacing w:before="0" w:after="200"/>
        <w:rPr/>
      </w:pPr>
      <w:r>
        <w:rPr>
          <w:rStyle w:val="Zakotwiczenieprzypisudolnego"/>
          <w:rFonts w:eastAsia="Arial" w:cs="Calibri" w:cstheme="minorHAnsi"/>
        </w:rPr>
        <w:tab/>
      </w:r>
    </w:p>
    <w:p>
      <w:pPr>
        <w:pStyle w:val="Przypisdolny"/>
        <w:spacing w:before="0" w:after="200"/>
        <w:rPr/>
      </w:pPr>
      <w:r>
        <w:rPr>
          <w:rStyle w:val="Zakotwiczenieprzypisudolnego"/>
          <w:rFonts w:eastAsia="Arial" w:cs="Calibri" w:cstheme="minorHAnsi"/>
        </w:rPr>
        <w:tab/>
      </w:r>
    </w:p>
    <w:p>
      <w:pPr>
        <w:pStyle w:val="Przypisdolny"/>
        <w:spacing w:before="0" w:after="200"/>
        <w:rPr/>
      </w:pPr>
      <w:r>
        <w:rPr>
          <w:rStyle w:val="Zakotwiczenieprzypisudolnego"/>
          <w:rFonts w:eastAsia="Arial" w:cs="Calibri" w:cstheme="minorHAnsi"/>
        </w:rPr>
        <w:tab/>
      </w:r>
    </w:p>
  </w:footnote>
  <w:footnote w:id="3">
    <w:p>
      <w:pPr>
        <w:pStyle w:val="Przypisdolny"/>
        <w:spacing w:before="0" w:after="200"/>
        <w:rPr/>
      </w:pPr>
      <w:r>
        <w:rPr>
          <w:rStyle w:val="Footnotereference"/>
          <w:sz w:val="18"/>
        </w:rPr>
        <w:footnoteRef/>
        <w:tab/>
      </w:r>
      <w:r>
        <w:rPr>
          <w:sz w:val="18"/>
        </w:rPr>
        <w:t xml:space="preserve"> </w:t>
      </w:r>
      <w:r>
        <w:rPr>
          <w:rFonts w:eastAsia="Arial" w:cs="Calibri" w:cstheme="minorHAnsi"/>
          <w:sz w:val="18"/>
        </w:rPr>
        <w:t xml:space="preserve">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w:t>
        <w:br/>
        <w:t>z definicją należy wykazać ją jako osobę bezrobotną.</w:t>
      </w:r>
    </w:p>
  </w:footnote>
  <w:footnote w:id="4">
    <w:p>
      <w:pPr>
        <w:pStyle w:val="Przypisdolny"/>
        <w:spacing w:before="0" w:after="200"/>
        <w:rPr/>
      </w:pPr>
      <w:r>
        <w:rPr>
          <w:rStyle w:val="Zakotwiczenieprzypisudolnego"/>
          <w:rFonts w:eastAsia="Arial" w:cs="Calibri" w:cstheme="minorHAnsi"/>
        </w:rPr>
        <w:footnoteRef/>
        <w:tab/>
      </w:r>
      <w:r>
        <w:rPr>
          <w:rFonts w:eastAsia="Arial" w:cs="Calibri" w:cstheme="minorHAnsi"/>
          <w:sz w:val="18"/>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5">
    <w:p>
      <w:pPr>
        <w:pStyle w:val="Przypisdolny"/>
        <w:spacing w:before="0" w:after="200"/>
        <w:rPr/>
      </w:pPr>
      <w:r>
        <w:rPr>
          <w:rStyle w:val="Zakotwiczenieprzypisudolnego"/>
          <w:iCs/>
        </w:rPr>
        <w:footnoteRef/>
        <w:tab/>
      </w:r>
      <w:r>
        <w:rPr>
          <w:rFonts w:cs="Calibri" w:cstheme="minorHAnsi"/>
          <w:sz w:val="18"/>
        </w:rPr>
        <w:t xml:space="preserve"> Wiek uczestnika ustala się na podstawie daty urodzenia w dniu rozpoczęcia projektu.</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114300" distR="114300" simplePos="0" locked="0" layoutInCell="1" allowOverlap="1" relativeHeight="15">
          <wp:simplePos x="0" y="0"/>
          <wp:positionH relativeFrom="page">
            <wp:align>center</wp:align>
          </wp:positionH>
          <wp:positionV relativeFrom="paragraph">
            <wp:posOffset>-197485</wp:posOffset>
          </wp:positionV>
          <wp:extent cx="6817995" cy="730885"/>
          <wp:effectExtent l="0" t="0" r="0" b="0"/>
          <wp:wrapNone/>
          <wp:docPr id="1" name="Obraz 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listownik-mono-Pomorskie-FE-UMWP-UE-EFS-RPO2014-2020-2015-nag"/>
                  <pic:cNvPicPr>
                    <a:picLocks noChangeAspect="1" noChangeArrowheads="1"/>
                  </pic:cNvPicPr>
                </pic:nvPicPr>
                <pic:blipFill>
                  <a:blip r:embed="rId1"/>
                  <a:stretch>
                    <a:fillRect/>
                  </a:stretch>
                </pic:blipFill>
                <pic:spPr bwMode="auto">
                  <a:xfrm>
                    <a:off x="0" y="0"/>
                    <a:ext cx="6817995" cy="730885"/>
                  </a:xfrm>
                  <a:prstGeom prst="rect">
                    <a:avLst/>
                  </a:prstGeom>
                  <a:noFill/>
                  <a:ln w="9525">
                    <a:noFill/>
                    <a:miter lim="800000"/>
                    <a:headEnd/>
                    <a:tailEnd/>
                  </a:ln>
                </pic:spPr>
              </pic:pic>
            </a:graphicData>
          </a:graphic>
        </wp:anchor>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i w:val="false"/>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53a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c1261"/>
    <w:rPr/>
  </w:style>
  <w:style w:type="character" w:styleId="StopkaZnak" w:customStyle="1">
    <w:name w:val="Stopka Znak"/>
    <w:basedOn w:val="DefaultParagraphFont"/>
    <w:link w:val="Stopka"/>
    <w:qFormat/>
    <w:rsid w:val="004c1261"/>
    <w:rPr/>
  </w:style>
  <w:style w:type="character" w:styleId="TekstdymkaZnak" w:customStyle="1">
    <w:name w:val="Tekst dymka Znak"/>
    <w:basedOn w:val="DefaultParagraphFont"/>
    <w:link w:val="Tekstdymka"/>
    <w:uiPriority w:val="99"/>
    <w:semiHidden/>
    <w:qFormat/>
    <w:rsid w:val="004c1261"/>
    <w:rPr>
      <w:rFonts w:ascii="Tahoma" w:hAnsi="Tahoma" w:cs="Tahoma"/>
      <w:sz w:val="16"/>
      <w:szCs w:val="16"/>
    </w:rPr>
  </w:style>
  <w:style w:type="character" w:styleId="TekstprzypisudolnegoZnak" w:customStyle="1">
    <w:name w:val="Tekst przypisu dolnego Znak"/>
    <w:basedOn w:val="DefaultParagraphFont"/>
    <w:link w:val="Tekstprzypisudolnego"/>
    <w:uiPriority w:val="99"/>
    <w:qFormat/>
    <w:rsid w:val="002f0089"/>
    <w:rPr>
      <w:rFonts w:eastAsia="" w:eastAsiaTheme="minorEastAsia"/>
      <w:sz w:val="20"/>
      <w:szCs w:val="20"/>
    </w:rPr>
  </w:style>
  <w:style w:type="character" w:styleId="Footnotereference">
    <w:name w:val="footnote reference"/>
    <w:basedOn w:val="DefaultParagraphFont"/>
    <w:uiPriority w:val="99"/>
    <w:unhideWhenUsed/>
    <w:qFormat/>
    <w:rsid w:val="002f0089"/>
    <w:rPr>
      <w:vertAlign w:val="superscript"/>
    </w:rPr>
  </w:style>
  <w:style w:type="character" w:styleId="AkapitzlistZnak" w:customStyle="1">
    <w:name w:val="Akapit z listą Znak"/>
    <w:link w:val="Akapitzlist"/>
    <w:uiPriority w:val="99"/>
    <w:qFormat/>
    <w:locked/>
    <w:rsid w:val="002f0089"/>
    <w:rPr>
      <w:rFonts w:eastAsia="" w:eastAsiaTheme="minorEastAsia"/>
      <w:sz w:val="20"/>
      <w:szCs w:val="20"/>
    </w:rPr>
  </w:style>
  <w:style w:type="character" w:styleId="Czeinternetowe">
    <w:name w:val="Łącze internetowe"/>
    <w:basedOn w:val="DefaultParagraphFont"/>
    <w:uiPriority w:val="99"/>
    <w:unhideWhenUsed/>
    <w:rsid w:val="00156258"/>
    <w:rPr>
      <w:color w:val="0000FF" w:themeColor="hyperlink"/>
      <w:u w:val="single"/>
    </w:rPr>
  </w:style>
  <w:style w:type="character" w:styleId="UnresolvedMention">
    <w:name w:val="Unresolved Mention"/>
    <w:basedOn w:val="DefaultParagraphFont"/>
    <w:uiPriority w:val="99"/>
    <w:semiHidden/>
    <w:unhideWhenUsed/>
    <w:qFormat/>
    <w:rsid w:val="00156258"/>
    <w:rPr>
      <w:color w:val="808080"/>
      <w:shd w:fill="E6E6E6" w:val="clear"/>
    </w:rPr>
  </w:style>
  <w:style w:type="character" w:styleId="ListLabel1">
    <w:name w:val="ListLabel 1"/>
    <w:qFormat/>
    <w:rPr>
      <w:rFonts w:cs="Times New Roman"/>
    </w:rPr>
  </w:style>
  <w:style w:type="character" w:styleId="ListLabel2">
    <w:name w:val="ListLabel 2"/>
    <w:qFormat/>
    <w:rPr>
      <w:color w:val="00000A"/>
    </w:rPr>
  </w:style>
  <w:style w:type="character" w:styleId="ListLabel3">
    <w:name w:val="ListLabel 3"/>
    <w:qFormat/>
    <w:rPr>
      <w:rFonts w:cs="Times New Roman"/>
      <w:color w:val="00000A"/>
    </w:rPr>
  </w:style>
  <w:style w:type="character" w:styleId="ListLabel4">
    <w:name w:val="ListLabel 4"/>
    <w:qFormat/>
    <w:rPr>
      <w:rFonts w:cs="Courier New"/>
    </w:rPr>
  </w:style>
  <w:style w:type="character" w:styleId="ListLabel5">
    <w:name w:val="ListLabel 5"/>
    <w:qFormat/>
    <w:rPr>
      <w:rFonts w:ascii="Calibri" w:hAnsi="Calibri"/>
      <w:i w:val="false"/>
    </w:rPr>
  </w:style>
  <w:style w:type="character" w:styleId="ListLabel6">
    <w:name w:val="ListLabel 6"/>
    <w:qFormat/>
    <w:rPr>
      <w:b/>
    </w:rPr>
  </w:style>
  <w:style w:type="character" w:styleId="ListLabel7">
    <w:name w:val="ListLabel 7"/>
    <w:qFormat/>
    <w:rPr>
      <w:rFonts w:eastAsia="" w:cs=""/>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8">
    <w:name w:val="ListLabel 8"/>
    <w:qFormat/>
    <w:rPr>
      <w:rFonts w:ascii="Calibri" w:hAnsi="Calibri"/>
      <w:i w:val="false"/>
    </w:rPr>
  </w:style>
  <w:style w:type="character" w:styleId="ListLabel9">
    <w:name w:val="ListLabel 9"/>
    <w:qFormat/>
    <w:rPr>
      <w:b/>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ascii="Calibri" w:hAnsi="Calibri"/>
      <w:i w:val="false"/>
    </w:rPr>
  </w:style>
  <w:style w:type="character" w:styleId="ListLabel14">
    <w:name w:val="ListLabel 14"/>
    <w:qFormat/>
    <w:rPr>
      <w:b/>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ascii="Calibri" w:hAnsi="Calibri"/>
      <w:i w:val="false"/>
    </w:rPr>
  </w:style>
  <w:style w:type="character" w:styleId="ListLabel19">
    <w:name w:val="ListLabel 19"/>
    <w:qFormat/>
    <w:rPr>
      <w:b/>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ascii="Calibri" w:hAnsi="Calibri"/>
      <w:i w:val="false"/>
    </w:rPr>
  </w:style>
  <w:style w:type="character" w:styleId="ListLabel24">
    <w:name w:val="ListLabel 24"/>
    <w:qFormat/>
    <w:rPr>
      <w:b/>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Calibri" w:hAnsi="Calibri"/>
      <w:i w:val="false"/>
    </w:rPr>
  </w:style>
  <w:style w:type="character" w:styleId="ListLabel29">
    <w:name w:val="ListLabel 29"/>
    <w:qFormat/>
    <w:rPr>
      <w:b/>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Główka"/>
    <w:basedOn w:val="Normal"/>
    <w:link w:val="NagwekZnak"/>
    <w:uiPriority w:val="99"/>
    <w:unhideWhenUsed/>
    <w:rsid w:val="004c1261"/>
    <w:pPr>
      <w:tabs>
        <w:tab w:val="center" w:pos="4536" w:leader="none"/>
        <w:tab w:val="right" w:pos="9072" w:leader="none"/>
      </w:tabs>
      <w:spacing w:lineRule="auto" w:line="240" w:before="0" w:after="0"/>
    </w:pPr>
    <w:rPr/>
  </w:style>
  <w:style w:type="paragraph" w:styleId="Stopka">
    <w:name w:val="Stopka"/>
    <w:basedOn w:val="Normal"/>
    <w:link w:val="StopkaZnak"/>
    <w:unhideWhenUsed/>
    <w:rsid w:val="004c1261"/>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4c1261"/>
    <w:pPr>
      <w:spacing w:lineRule="auto" w:line="240" w:before="0" w:after="0"/>
    </w:pPr>
    <w:rPr>
      <w:rFonts w:ascii="Tahoma" w:hAnsi="Tahoma" w:cs="Tahoma"/>
      <w:sz w:val="16"/>
      <w:szCs w:val="16"/>
    </w:rPr>
  </w:style>
  <w:style w:type="paragraph" w:styleId="Footnotetext">
    <w:name w:val="footnote text"/>
    <w:basedOn w:val="Normal"/>
    <w:link w:val="TekstprzypisudolnegoZnak"/>
    <w:uiPriority w:val="99"/>
    <w:unhideWhenUsed/>
    <w:qFormat/>
    <w:rsid w:val="002f0089"/>
    <w:pPr>
      <w:spacing w:lineRule="auto" w:line="240" w:before="100" w:after="0"/>
    </w:pPr>
    <w:rPr>
      <w:rFonts w:eastAsia="" w:eastAsiaTheme="minorEastAsia"/>
      <w:sz w:val="20"/>
      <w:szCs w:val="20"/>
    </w:rPr>
  </w:style>
  <w:style w:type="paragraph" w:styleId="ListParagraph">
    <w:name w:val="List Paragraph"/>
    <w:basedOn w:val="Normal"/>
    <w:link w:val="AkapitzlistZnak"/>
    <w:uiPriority w:val="34"/>
    <w:qFormat/>
    <w:rsid w:val="002f0089"/>
    <w:pPr>
      <w:spacing w:before="100" w:after="200"/>
      <w:ind w:left="720" w:hanging="0"/>
      <w:contextualSpacing/>
    </w:pPr>
    <w:rPr>
      <w:rFonts w:eastAsia="" w:eastAsiaTheme="minorEastAsia"/>
      <w:sz w:val="20"/>
      <w:szCs w:val="20"/>
    </w:rPr>
  </w:style>
  <w:style w:type="paragraph" w:styleId="Default" w:customStyle="1">
    <w:name w:val="Default"/>
    <w:qFormat/>
    <w:rsid w:val="002f0089"/>
    <w:pPr>
      <w:widowControl/>
      <w:suppressAutoHyphens w:val="true"/>
      <w:bidi w:val="0"/>
      <w:spacing w:lineRule="auto" w:line="240" w:before="0" w:after="0"/>
      <w:jc w:val="both"/>
    </w:pPr>
    <w:rPr>
      <w:rFonts w:ascii="Times New Roman" w:hAnsi="Times New Roman" w:eastAsia="Times New Roman" w:cs="Times New Roman"/>
      <w:color w:val="000000"/>
      <w:sz w:val="24"/>
      <w:szCs w:val="24"/>
      <w:lang w:val="pl-PL" w:eastAsia="pl-PL" w:bidi="ar-SA"/>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a760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991F-BBD4-460E-B6CE-FD79B78D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Application>LibreOffice/4.4.1.2$Windows_x86 LibreOffice_project/45e2de17089c24a1fa810c8f975a7171ba4cd432</Application>
  <Paragraphs>144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2017-07-19T11:44:00Z</dcterms:created>
  <dc:creator>stażysta</dc:creator>
  <dc:language>pl-PL</dc:language>
  <cp:lastPrinted>2017-07-17T06:57:00Z</cp:lastPrinted>
  <dcterms:modified xsi:type="dcterms:W3CDTF">2018-04-10T09:17:55Z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